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F1A36CA">
      <w:pPr>
        <w:tabs>
          <w:tab w:val="center" w:pos="4536"/>
          <w:tab w:val="right" w:pos="7938"/>
          <w:tab w:val="right" w:pos="9639"/>
        </w:tabs>
        <w:ind w:right="2"/>
        <w:rPr>
          <w:rFonts w:hint="default" w:ascii="Times New Roman Bold" w:hAnsi="Times New Roman Bold" w:cs="Times New Roman Bold"/>
          <w:b/>
          <w:bCs/>
        </w:rPr>
      </w:pPr>
      <w:bookmarkStart w:id="0" w:name="_Hlk145670493"/>
      <w:r>
        <w:rPr>
          <w:rFonts w:hint="default" w:ascii="Times New Roman Bold" w:hAnsi="Times New Roman Bold" w:cs="Times New Roman Bold"/>
          <w:b/>
          <w:bCs/>
        </w:rPr>
        <w:t>3GPP TSG RAN WG1 #118bis</w:t>
      </w:r>
      <w:r>
        <w:rPr>
          <w:rFonts w:hint="default" w:ascii="Times New Roman Bold" w:hAnsi="Times New Roman Bold" w:cs="Times New Roman Bold"/>
          <w:b/>
          <w:bCs/>
        </w:rPr>
        <w:tab/>
      </w:r>
      <w:r>
        <w:rPr>
          <w:rFonts w:hint="default" w:ascii="Times New Roman Bold" w:hAnsi="Times New Roman Bold" w:cs="Times New Roman Bold"/>
          <w:b/>
          <w:bCs/>
        </w:rPr>
        <w:tab/>
      </w:r>
      <w:r>
        <w:rPr>
          <w:rFonts w:hint="default" w:ascii="Times New Roman Bold" w:hAnsi="Times New Roman Bold" w:cs="Times New Roman Bold"/>
          <w:b/>
          <w:bCs/>
        </w:rPr>
        <w:tab/>
      </w:r>
      <w:r>
        <w:rPr>
          <w:rFonts w:hint="default" w:ascii="Times New Roman Bold" w:hAnsi="Times New Roman Bold" w:cs="Times New Roman Bold"/>
          <w:b/>
          <w:bCs/>
        </w:rPr>
        <w:t>R1-2400841</w:t>
      </w:r>
    </w:p>
    <w:bookmarkEnd w:id="0"/>
    <w:p w14:paraId="7BB48B64">
      <w:pPr>
        <w:tabs>
          <w:tab w:val="center" w:pos="4536"/>
          <w:tab w:val="right" w:pos="9072"/>
        </w:tabs>
        <w:rPr>
          <w:rFonts w:hint="default" w:ascii="Times New Roman Bold" w:hAnsi="Times New Roman Bold" w:eastAsia="MS Mincho" w:cs="Times New Roman Bold"/>
          <w:b/>
          <w:bCs/>
          <w:lang w:eastAsia="ja-JP"/>
        </w:rPr>
      </w:pPr>
      <w:r>
        <w:rPr>
          <w:rFonts w:hint="default" w:ascii="Times New Roman Bold" w:hAnsi="Times New Roman Bold" w:eastAsia="MS Mincho" w:cs="Times New Roman Bold"/>
          <w:b/>
          <w:bCs/>
          <w:lang w:eastAsia="ja-JP"/>
        </w:rPr>
        <w:t>Hefei, China, October 14</w:t>
      </w:r>
      <w:r>
        <w:rPr>
          <w:rFonts w:hint="default" w:ascii="Times New Roman Bold" w:hAnsi="Times New Roman Bold" w:eastAsia="Malgun Gothic" w:cs="Times New Roman Bold"/>
          <w:b/>
          <w:bCs/>
          <w:vertAlign w:val="superscript"/>
          <w:lang w:eastAsia="ko-KR"/>
        </w:rPr>
        <w:t>th</w:t>
      </w:r>
      <w:r>
        <w:rPr>
          <w:rFonts w:hint="default" w:ascii="Times New Roman Bold" w:hAnsi="Times New Roman Bold" w:eastAsia="MS Mincho" w:cs="Times New Roman Bold"/>
          <w:b/>
          <w:bCs/>
          <w:lang w:eastAsia="ja-JP"/>
        </w:rPr>
        <w:t xml:space="preserve"> </w:t>
      </w:r>
      <w:r>
        <w:rPr>
          <w:rFonts w:hint="default" w:ascii="Times New Roman Bold" w:hAnsi="Times New Roman Bold" w:cs="Times New Roman Bold"/>
          <w:b/>
          <w:bCs/>
        </w:rPr>
        <w:t>– 18</w:t>
      </w:r>
      <w:r>
        <w:rPr>
          <w:rFonts w:hint="default" w:ascii="Times New Roman Bold" w:hAnsi="Times New Roman Bold" w:cs="Times New Roman Bold"/>
          <w:b/>
          <w:bCs/>
          <w:vertAlign w:val="superscript"/>
        </w:rPr>
        <w:t>th</w:t>
      </w:r>
      <w:r>
        <w:rPr>
          <w:rFonts w:hint="default" w:ascii="Times New Roman Bold" w:hAnsi="Times New Roman Bold" w:eastAsia="MS Mincho" w:cs="Times New Roman Bold"/>
          <w:b/>
          <w:bCs/>
          <w:lang w:eastAsia="ja-JP"/>
        </w:rPr>
        <w:t>, 2024</w:t>
      </w:r>
    </w:p>
    <w:p w14:paraId="35837487">
      <w:pPr>
        <w:tabs>
          <w:tab w:val="right" w:pos="9216"/>
        </w:tabs>
        <w:autoSpaceDE w:val="0"/>
        <w:autoSpaceDN w:val="0"/>
        <w:adjustRightInd w:val="0"/>
        <w:snapToGrid w:val="0"/>
        <w:rPr>
          <w:rFonts w:hint="default" w:ascii="Times New Roman Bold" w:hAnsi="Times New Roman Bold" w:eastAsia="宋体" w:cs="Times New Roman Bold"/>
          <w:b/>
        </w:rPr>
      </w:pPr>
    </w:p>
    <w:p w14:paraId="722487EB">
      <w:pPr>
        <w:tabs>
          <w:tab w:val="left" w:pos="1985"/>
        </w:tabs>
        <w:ind w:left="1985" w:hanging="1985"/>
        <w:rPr>
          <w:rFonts w:hint="default" w:ascii="Times New Roman Bold" w:hAnsi="Times New Roman Bold" w:eastAsia="宋体" w:cs="Times New Roman Bold"/>
          <w:b/>
          <w:bCs/>
          <w:lang w:val="en-US" w:eastAsia="zh-CN"/>
        </w:rPr>
      </w:pPr>
      <w:r>
        <w:rPr>
          <w:rFonts w:hint="default" w:ascii="Times New Roman Bold" w:hAnsi="Times New Roman Bold" w:cs="Times New Roman Bold"/>
          <w:b/>
          <w:bCs/>
        </w:rPr>
        <w:t>Agenda item:</w:t>
      </w:r>
      <w:r>
        <w:rPr>
          <w:rFonts w:hint="default" w:ascii="Times New Roman Bold" w:hAnsi="Times New Roman Bold" w:cs="Times New Roman Bold"/>
          <w:b/>
          <w:bCs/>
        </w:rPr>
        <w:tab/>
      </w:r>
      <w:r>
        <w:rPr>
          <w:rFonts w:hint="default" w:ascii="Times New Roman Bold" w:hAnsi="Times New Roman Bold" w:cs="Times New Roman Bold"/>
          <w:b/>
          <w:bCs/>
        </w:rPr>
        <w:t>9.</w:t>
      </w:r>
      <w:r>
        <w:rPr>
          <w:rFonts w:hint="default" w:ascii="Times New Roman Bold" w:hAnsi="Times New Roman Bold" w:cs="Times New Roman Bold"/>
          <w:b/>
          <w:bCs/>
          <w:lang w:val="en-US" w:eastAsia="zh-CN"/>
        </w:rPr>
        <w:t>7</w:t>
      </w:r>
      <w:r>
        <w:rPr>
          <w:rFonts w:hint="default" w:ascii="Times New Roman Bold" w:hAnsi="Times New Roman Bold" w:cs="Times New Roman Bold"/>
          <w:b/>
          <w:bCs/>
        </w:rPr>
        <w:t>.</w:t>
      </w:r>
      <w:r>
        <w:rPr>
          <w:rFonts w:hint="default" w:ascii="Times New Roman Bold" w:hAnsi="Times New Roman Bold" w:cs="Times New Roman Bold"/>
          <w:b/>
          <w:bCs/>
          <w:lang w:val="en-US" w:eastAsia="zh-CN"/>
        </w:rPr>
        <w:t>2</w:t>
      </w:r>
    </w:p>
    <w:p w14:paraId="7E7F2D5D">
      <w:pPr>
        <w:tabs>
          <w:tab w:val="left" w:pos="1985"/>
        </w:tabs>
        <w:ind w:left="1985" w:hanging="1985"/>
        <w:rPr>
          <w:rFonts w:hint="default" w:ascii="Times New Roman Bold" w:hAnsi="Times New Roman Bold" w:cs="Times New Roman Bold"/>
          <w:b/>
          <w:bCs/>
        </w:rPr>
      </w:pPr>
      <w:r>
        <w:rPr>
          <w:rFonts w:hint="default" w:ascii="Times New Roman Bold" w:hAnsi="Times New Roman Bold" w:cs="Times New Roman Bold"/>
          <w:b/>
          <w:bCs/>
        </w:rPr>
        <w:t>Source:</w:t>
      </w:r>
      <w:r>
        <w:rPr>
          <w:rFonts w:hint="default" w:ascii="Times New Roman Bold" w:hAnsi="Times New Roman Bold" w:cs="Times New Roman Bold"/>
          <w:b/>
          <w:bCs/>
        </w:rPr>
        <w:tab/>
      </w:r>
      <w:r>
        <w:rPr>
          <w:rFonts w:hint="default" w:ascii="Times New Roman Bold" w:hAnsi="Times New Roman Bold" w:cs="Times New Roman Bold"/>
          <w:b/>
          <w:bCs/>
        </w:rPr>
        <w:t>Southeast University, Purple Mountain Laboratories</w:t>
      </w:r>
    </w:p>
    <w:p w14:paraId="6FFC57AC">
      <w:pPr>
        <w:tabs>
          <w:tab w:val="left" w:pos="1985"/>
        </w:tabs>
        <w:ind w:left="1985" w:hanging="1985"/>
        <w:rPr>
          <w:rFonts w:hint="default" w:ascii="Times New Roman Bold" w:hAnsi="Times New Roman Bold" w:eastAsia="宋体" w:cs="Times New Roman Bold"/>
          <w:b/>
          <w:bCs/>
          <w:lang w:val="en-US" w:eastAsia="zh-CN"/>
        </w:rPr>
      </w:pPr>
      <w:r>
        <w:rPr>
          <w:rFonts w:hint="default" w:ascii="Times New Roman Bold" w:hAnsi="Times New Roman Bold" w:cs="Times New Roman Bold"/>
          <w:b/>
          <w:bCs/>
        </w:rPr>
        <w:t>Title:</w:t>
      </w:r>
      <w:r>
        <w:rPr>
          <w:rFonts w:hint="default" w:ascii="Times New Roman Bold" w:hAnsi="Times New Roman Bold" w:cs="Times New Roman Bold"/>
          <w:b/>
          <w:bCs/>
        </w:rPr>
        <w:tab/>
      </w:r>
      <w:bookmarkStart w:id="6" w:name="_GoBack"/>
      <w:bookmarkEnd w:id="6"/>
      <w:r>
        <w:rPr>
          <w:rFonts w:hint="default" w:ascii="Times New Roman Bold" w:hAnsi="Times New Roman Bold" w:cs="Times New Roman Bold"/>
          <w:b/>
          <w:bCs/>
        </w:rPr>
        <w:t>Discussion on</w:t>
      </w:r>
      <w:r>
        <w:rPr>
          <w:rFonts w:hint="default" w:ascii="Times New Roman Bold" w:hAnsi="Times New Roman Bold" w:cs="Times New Roman Bold"/>
          <w:b/>
          <w:bCs/>
        </w:rPr>
        <w:t xml:space="preserve"> Channel Measurements and Modeling</w:t>
      </w:r>
      <w:r>
        <w:rPr>
          <w:rFonts w:hint="default" w:ascii="Times New Roman Bold" w:hAnsi="Times New Roman Bold" w:cs="Times New Roman Bold"/>
          <w:b/>
          <w:bCs/>
          <w:lang w:val="en-US" w:eastAsia="zh-CN"/>
        </w:rPr>
        <w:t xml:space="preserve"> for </w:t>
      </w:r>
      <w:r>
        <w:rPr>
          <w:rFonts w:hint="default" w:ascii="Times New Roman Bold" w:hAnsi="Times New Roman Bold" w:cs="Times New Roman Bold"/>
          <w:b/>
          <w:bCs/>
        </w:rPr>
        <w:t>Integrated Monostatic Sensing and Communication</w:t>
      </w:r>
    </w:p>
    <w:p w14:paraId="6AFF5346">
      <w:pPr>
        <w:pBdr>
          <w:top w:val="none" w:color="auto" w:sz="0" w:space="0"/>
          <w:left w:val="none" w:color="auto" w:sz="0" w:space="0"/>
          <w:bottom w:val="none" w:color="auto" w:sz="0" w:space="0"/>
          <w:right w:val="none" w:color="auto" w:sz="0" w:space="0"/>
          <w:between w:val="none" w:color="auto" w:sz="0" w:space="0"/>
        </w:pBdr>
        <w:tabs>
          <w:tab w:val="left" w:pos="1985"/>
        </w:tabs>
        <w:ind w:left="1985" w:hanging="1985"/>
        <w:rPr>
          <w:rFonts w:hint="default" w:ascii="Times New Roman Bold" w:hAnsi="Times New Roman Bold" w:cs="Times New Roman Bold"/>
          <w:b/>
          <w:bCs/>
        </w:rPr>
      </w:pPr>
      <w:r>
        <w:rPr>
          <w:rFonts w:hint="default" w:ascii="Times New Roman Bold" w:hAnsi="Times New Roman Bold" w:cs="Times New Roman Bold"/>
          <w:b/>
          <w:bCs/>
        </w:rPr>
        <w:t>Document for:</w:t>
      </w:r>
      <w:r>
        <w:rPr>
          <w:rFonts w:hint="default" w:ascii="Times New Roman Bold" w:hAnsi="Times New Roman Bold" w:cs="Times New Roman Bold"/>
          <w:b/>
          <w:bCs/>
        </w:rPr>
        <w:tab/>
      </w:r>
      <w:r>
        <w:rPr>
          <w:rFonts w:hint="default" w:ascii="Times New Roman Bold" w:hAnsi="Times New Roman Bold" w:cs="Times New Roman Bold"/>
          <w:b/>
          <w:bCs/>
        </w:rPr>
        <w:t>Discussion</w:t>
      </w:r>
    </w:p>
    <w:p w14:paraId="7BE1A703">
      <w:pPr>
        <w:pBdr>
          <w:top w:val="none" w:color="auto" w:sz="0" w:space="0"/>
          <w:left w:val="none" w:color="auto" w:sz="0" w:space="0"/>
          <w:bottom w:val="none" w:color="auto" w:sz="0" w:space="0"/>
          <w:right w:val="none" w:color="auto" w:sz="0" w:space="0"/>
          <w:between w:val="none" w:color="auto" w:sz="0" w:space="0"/>
        </w:pBdr>
        <w:tabs>
          <w:tab w:val="left" w:pos="1985"/>
        </w:tabs>
        <w:ind w:left="1985" w:hanging="1985"/>
        <w:rPr>
          <w:rFonts w:hint="default" w:ascii="Times New Roman Bold" w:hAnsi="Times New Roman Bold" w:cs="Times New Roman Bold"/>
          <w:b/>
          <w:bCs/>
        </w:rPr>
      </w:pPr>
    </w:p>
    <w:p w14:paraId="602A97F8">
      <w:pPr>
        <w:pStyle w:val="10"/>
        <w:numPr>
          <w:ilvl w:val="0"/>
          <w:numId w:val="1"/>
        </w:numPr>
        <w:pBdr>
          <w:top w:val="single" w:color="auto" w:sz="4" w:space="0"/>
        </w:pBdr>
        <w:spacing w:after="120"/>
        <w:ind w:firstLineChars="0"/>
        <w:rPr>
          <w:rFonts w:eastAsia="Times New Roman"/>
          <w:b w:val="0"/>
          <w:bCs/>
          <w:sz w:val="36"/>
          <w:szCs w:val="36"/>
        </w:rPr>
      </w:pPr>
      <w:r>
        <w:rPr>
          <w:rFonts w:eastAsia="Times New Roman"/>
          <w:b w:val="0"/>
          <w:bCs/>
          <w:sz w:val="36"/>
          <w:szCs w:val="36"/>
        </w:rPr>
        <w:t>Introduction</w:t>
      </w:r>
    </w:p>
    <w:p w14:paraId="61F4A636">
      <w:pPr>
        <w:ind w:firstLine="300" w:firstLineChars="150"/>
        <w:rPr>
          <w:sz w:val="20"/>
          <w:szCs w:val="20"/>
        </w:rPr>
      </w:pPr>
      <w:r>
        <w:rPr>
          <w:sz w:val="20"/>
          <w:szCs w:val="20"/>
        </w:rPr>
        <w:t xml:space="preserve">In this document, </w:t>
      </w:r>
      <w:r>
        <w:rPr>
          <w:rFonts w:hint="eastAsia"/>
          <w:sz w:val="20"/>
          <w:szCs w:val="20"/>
        </w:rPr>
        <w:t>w</w:t>
      </w:r>
      <w:r>
        <w:rPr>
          <w:sz w:val="20"/>
          <w:szCs w:val="20"/>
        </w:rPr>
        <w:t xml:space="preserve">e provide our channel measurements and </w:t>
      </w:r>
      <w:r>
        <w:rPr>
          <w:rFonts w:hint="eastAsia"/>
          <w:sz w:val="20"/>
          <w:szCs w:val="20"/>
          <w:lang w:val="en-US" w:eastAsia="zh-CN"/>
        </w:rPr>
        <w:t>model</w:t>
      </w:r>
      <w:r>
        <w:rPr>
          <w:sz w:val="20"/>
          <w:szCs w:val="20"/>
        </w:rPr>
        <w:t xml:space="preserve"> to follow RAN1#118 ‘</w:t>
      </w:r>
      <w:r>
        <w:rPr>
          <w:rFonts w:hint="eastAsia"/>
          <w:sz w:val="20"/>
          <w:szCs w:val="20"/>
          <w:lang w:val="en-US" w:eastAsia="zh-CN"/>
        </w:rPr>
        <w:t>ISAC channel</w:t>
      </w:r>
      <w:r>
        <w:rPr>
          <w:rFonts w:hint="default"/>
          <w:sz w:val="20"/>
          <w:szCs w:val="20"/>
          <w:lang w:val="en-US" w:eastAsia="zh-CN"/>
        </w:rPr>
        <w:t xml:space="preserve"> modeling</w:t>
      </w:r>
      <w:r>
        <w:rPr>
          <w:sz w:val="20"/>
          <w:szCs w:val="20"/>
        </w:rPr>
        <w:t>’.</w:t>
      </w:r>
    </w:p>
    <w:p w14:paraId="102BE8D3">
      <w:pPr>
        <w:pBdr>
          <w:bottom w:val="single" w:color="auto" w:sz="4" w:space="0"/>
        </w:pBdr>
        <w:rPr>
          <w:rFonts w:eastAsia="Times New Roman"/>
          <w:color w:val="000000"/>
        </w:rPr>
      </w:pPr>
    </w:p>
    <w:p w14:paraId="66E63CD1">
      <w:pPr>
        <w:pStyle w:val="2"/>
        <w:numPr>
          <w:ilvl w:val="0"/>
          <w:numId w:val="1"/>
        </w:numPr>
        <w:spacing w:before="156" w:after="156"/>
        <w:rPr>
          <w:b w:val="0"/>
          <w:bCs w:val="0"/>
          <w:kern w:val="36"/>
          <w:sz w:val="36"/>
          <w:szCs w:val="36"/>
        </w:rPr>
      </w:pPr>
      <w:r>
        <w:rPr>
          <w:b w:val="0"/>
          <w:bCs w:val="0"/>
          <w:kern w:val="36"/>
          <w:sz w:val="36"/>
          <w:szCs w:val="36"/>
        </w:rPr>
        <w:t xml:space="preserve">Discussion </w:t>
      </w:r>
    </w:p>
    <w:p w14:paraId="29B80E52">
      <w:pPr>
        <w:pStyle w:val="3"/>
        <w:numPr>
          <w:ilvl w:val="1"/>
          <w:numId w:val="2"/>
        </w:numPr>
        <w:spacing w:before="156" w:after="156"/>
        <w:ind w:left="0" w:leftChars="0" w:firstLine="0" w:firstLineChars="0"/>
        <w:rPr>
          <w:b w:val="0"/>
          <w:bCs w:val="0"/>
          <w:sz w:val="28"/>
          <w:szCs w:val="28"/>
        </w:rPr>
      </w:pPr>
      <w:r>
        <w:rPr>
          <w:b w:val="0"/>
          <w:bCs w:val="0"/>
          <w:sz w:val="28"/>
          <w:szCs w:val="28"/>
        </w:rPr>
        <w:t xml:space="preserve"> Experiment campaigns</w:t>
      </w:r>
    </w:p>
    <w:p w14:paraId="2BA43F21">
      <w:pPr>
        <w:ind w:firstLine="480" w:firstLineChars="200"/>
        <w:jc w:val="both"/>
      </w:pPr>
      <w:r>
        <w:t>The ISAC channel sounding system is built based on the</w:t>
      </w:r>
      <w:r>
        <w:rPr>
          <w:rFonts w:hint="eastAsia"/>
        </w:rPr>
        <w:t xml:space="preserve"> </w:t>
      </w:r>
      <w:r>
        <w:t>NI vector signal transceiver (VST). There are three parts of</w:t>
      </w:r>
      <w:r>
        <w:rPr>
          <w:rFonts w:hint="eastAsia"/>
        </w:rPr>
        <w:t xml:space="preserve"> </w:t>
      </w:r>
      <w:r>
        <w:t>the channel sounding system, i.e., transmitter (TX), sensing receiver (SRX), and</w:t>
      </w:r>
      <w:r>
        <w:rPr>
          <w:rFonts w:hint="eastAsia"/>
        </w:rPr>
        <w:t xml:space="preserve"> </w:t>
      </w:r>
      <w:r>
        <w:t>communication receiver (CRX). The TX is composed of VST</w:t>
      </w:r>
      <w:r>
        <w:rPr>
          <w:rFonts w:hint="eastAsia"/>
        </w:rPr>
        <w:t xml:space="preserve"> </w:t>
      </w:r>
      <w:r>
        <w:t>PXIe-5841, an up-converter, a Rubidium clock, a GPS antenna,</w:t>
      </w:r>
      <w:r>
        <w:rPr>
          <w:rFonts w:hint="eastAsia"/>
        </w:rPr>
        <w:t xml:space="preserve"> </w:t>
      </w:r>
      <w:r>
        <w:t>a solid-state switch, and a 4×4 dual-polarized uniform</w:t>
      </w:r>
      <w:r>
        <w:rPr>
          <w:rFonts w:hint="eastAsia"/>
        </w:rPr>
        <w:t xml:space="preserve"> </w:t>
      </w:r>
      <w:r>
        <w:t>planar array (UPA). The SRX consists of VST PXIe-5841, a</w:t>
      </w:r>
      <w:r>
        <w:rPr>
          <w:rFonts w:hint="eastAsia"/>
        </w:rPr>
        <w:t xml:space="preserve"> </w:t>
      </w:r>
      <w:r>
        <w:t>down-converter, a Rubidium clock, a GPS antenna, a solid-state</w:t>
      </w:r>
      <w:r>
        <w:rPr>
          <w:rFonts w:hint="eastAsia"/>
        </w:rPr>
        <w:t xml:space="preserve"> </w:t>
      </w:r>
      <w:r>
        <w:t>switch, and a 4×4 dual-polarized UPA. The TX and the SRX</w:t>
      </w:r>
      <w:r>
        <w:rPr>
          <w:rFonts w:hint="eastAsia"/>
        </w:rPr>
        <w:t xml:space="preserve"> </w:t>
      </w:r>
      <w:r>
        <w:t>are placed side by side to form a monostatic sensing channel</w:t>
      </w:r>
      <w:r>
        <w:rPr>
          <w:rFonts w:hint="eastAsia"/>
        </w:rPr>
        <w:t xml:space="preserve"> </w:t>
      </w:r>
      <w:r>
        <w:t>sounder. We refer to it as a TRX. The composition of CRX</w:t>
      </w:r>
      <w:r>
        <w:rPr>
          <w:rFonts w:hint="eastAsia"/>
        </w:rPr>
        <w:t xml:space="preserve"> </w:t>
      </w:r>
      <w:r>
        <w:t>is the same as the SRX. The combination of the Rubidium</w:t>
      </w:r>
      <w:r>
        <w:rPr>
          <w:rFonts w:hint="eastAsia"/>
        </w:rPr>
        <w:t xml:space="preserve"> </w:t>
      </w:r>
      <w:r>
        <w:t>clock and GPS antenna serves to generate a 1 pulse per</w:t>
      </w:r>
      <w:r>
        <w:rPr>
          <w:rFonts w:hint="eastAsia"/>
        </w:rPr>
        <w:t xml:space="preserve"> </w:t>
      </w:r>
      <w:r>
        <w:t>second (1PPS) trigger signal and a 10 MHz reference signal.</w:t>
      </w:r>
      <w:r>
        <w:rPr>
          <w:rFonts w:hint="eastAsia"/>
        </w:rPr>
        <w:t xml:space="preserve"> </w:t>
      </w:r>
      <w:r>
        <w:t>The ISAC channel sounding system diagram is</w:t>
      </w:r>
      <w:r>
        <w:rPr>
          <w:rFonts w:hint="eastAsia"/>
        </w:rPr>
        <w:t xml:space="preserve"> </w:t>
      </w:r>
      <w:r>
        <w:t>shown in Fig. 1. The VST at the TX generates the intermediate</w:t>
      </w:r>
      <w:r>
        <w:rPr>
          <w:rFonts w:hint="eastAsia"/>
        </w:rPr>
        <w:t xml:space="preserve"> </w:t>
      </w:r>
      <w:r>
        <w:t>frequency signal and inputs it to the up-converter, generating a</w:t>
      </w:r>
      <w:r>
        <w:rPr>
          <w:rFonts w:hint="eastAsia"/>
        </w:rPr>
        <w:t xml:space="preserve"> </w:t>
      </w:r>
      <w:r>
        <w:t>10 GHz radio frequency (RF) signal. The RF signal is input to</w:t>
      </w:r>
      <w:r>
        <w:rPr>
          <w:rFonts w:hint="eastAsia"/>
        </w:rPr>
        <w:t xml:space="preserve"> </w:t>
      </w:r>
      <w:r>
        <w:t>the switch, which is then transmitted by UPA. After receiving</w:t>
      </w:r>
      <w:r>
        <w:rPr>
          <w:rFonts w:hint="eastAsia"/>
        </w:rPr>
        <w:t xml:space="preserve"> </w:t>
      </w:r>
      <w:r>
        <w:t>the echo signal by the SRX UPA, the received signal is input</w:t>
      </w:r>
      <w:r>
        <w:rPr>
          <w:rFonts w:hint="eastAsia"/>
        </w:rPr>
        <w:t xml:space="preserve"> </w:t>
      </w:r>
      <w:r>
        <w:t>to the down-converter through the switch. The down-converter</w:t>
      </w:r>
      <w:r>
        <w:rPr>
          <w:rFonts w:hint="eastAsia"/>
        </w:rPr>
        <w:t xml:space="preserve"> </w:t>
      </w:r>
      <w:r>
        <w:t>outputs the intermediate frequency signal and inputs it to the</w:t>
      </w:r>
      <w:r>
        <w:rPr>
          <w:rFonts w:hint="eastAsia"/>
        </w:rPr>
        <w:t xml:space="preserve"> </w:t>
      </w:r>
      <w:r>
        <w:t>VST. The sensing channel measurement data is stored in the</w:t>
      </w:r>
      <w:r>
        <w:rPr>
          <w:rFonts w:hint="eastAsia"/>
        </w:rPr>
        <w:t xml:space="preserve"> </w:t>
      </w:r>
      <w:r>
        <w:t>PXIe-8267 streaming disk. On the CRX side, the signal</w:t>
      </w:r>
      <w:r>
        <w:rPr>
          <w:rFonts w:hint="eastAsia"/>
        </w:rPr>
        <w:t xml:space="preserve"> </w:t>
      </w:r>
      <w:r>
        <w:t>received by UPA goes through the same process to obtain</w:t>
      </w:r>
      <w:r>
        <w:rPr>
          <w:rFonts w:hint="eastAsia"/>
        </w:rPr>
        <w:t xml:space="preserve"> </w:t>
      </w:r>
      <w:r>
        <w:t>communication channel measurement data.</w:t>
      </w:r>
    </w:p>
    <w:p w14:paraId="36444242">
      <w:pPr>
        <w:ind w:firstLine="480" w:firstLineChars="200"/>
        <w:jc w:val="center"/>
      </w:pPr>
      <w:r>
        <w:drawing>
          <wp:inline distT="0" distB="0" distL="0" distR="0">
            <wp:extent cx="1926590" cy="2090420"/>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1941626" cy="2106871"/>
                    </a:xfrm>
                    <a:prstGeom prst="rect">
                      <a:avLst/>
                    </a:prstGeom>
                  </pic:spPr>
                </pic:pic>
              </a:graphicData>
            </a:graphic>
          </wp:inline>
        </w:drawing>
      </w:r>
    </w:p>
    <w:p w14:paraId="0AC6EC31">
      <w:pPr>
        <w:ind w:firstLine="480" w:firstLineChars="200"/>
        <w:jc w:val="center"/>
      </w:pPr>
      <w:r>
        <w:t>Fig. 1. ISAC channel sounding system, (a) TRX and (b) CRX.</w:t>
      </w:r>
    </w:p>
    <w:p w14:paraId="57839C9F">
      <w:pPr>
        <w:ind w:firstLine="480" w:firstLineChars="200"/>
        <w:jc w:val="center"/>
      </w:pPr>
    </w:p>
    <w:p w14:paraId="12CE401C">
      <w:pPr>
        <w:ind w:firstLine="480" w:firstLineChars="200"/>
        <w:jc w:val="both"/>
      </w:pPr>
      <w:r>
        <w:t>Measurements are conducted in a typical indoor scenario with</w:t>
      </w:r>
      <w:r>
        <w:rPr>
          <w:rFonts w:hint="eastAsia"/>
        </w:rPr>
        <w:t xml:space="preserve"> </w:t>
      </w:r>
      <w:r>
        <w:t>a size of 16.2×7.8×2.8 m</w:t>
      </w:r>
      <w:r>
        <w:rPr>
          <w:vertAlign w:val="superscript"/>
        </w:rPr>
        <w:t>3</w:t>
      </w:r>
      <w:r>
        <w:t>. There are wooden tables</w:t>
      </w:r>
      <w:r>
        <w:rPr>
          <w:rFonts w:hint="eastAsia"/>
        </w:rPr>
        <w:t xml:space="preserve"> </w:t>
      </w:r>
      <w:r>
        <w:t>and chairs, metal walls, and glass columns within the indoor</w:t>
      </w:r>
      <w:r>
        <w:rPr>
          <w:rFonts w:hint="eastAsia"/>
        </w:rPr>
        <w:t xml:space="preserve"> </w:t>
      </w:r>
      <w:r>
        <w:t>measurement scenario. The scenario schematic diagram and</w:t>
      </w:r>
      <w:r>
        <w:rPr>
          <w:rFonts w:hint="eastAsia"/>
        </w:rPr>
        <w:t xml:space="preserve"> </w:t>
      </w:r>
      <w:r>
        <w:t>actual scenario pictures are shown in Figs. 2 (a) and (b),</w:t>
      </w:r>
      <w:r>
        <w:rPr>
          <w:rFonts w:hint="eastAsia"/>
        </w:rPr>
        <w:t xml:space="preserve"> </w:t>
      </w:r>
      <w:r>
        <w:t>respectively. The CRX with</w:t>
      </w:r>
      <w:r>
        <w:rPr>
          <w:rFonts w:hint="eastAsia"/>
        </w:rPr>
        <w:t xml:space="preserve"> </w:t>
      </w:r>
      <w:r>
        <w:t>a height of 1 m is placed in the corner, while the TRX with a</w:t>
      </w:r>
      <w:r>
        <w:rPr>
          <w:rFonts w:hint="eastAsia"/>
        </w:rPr>
        <w:t xml:space="preserve"> </w:t>
      </w:r>
      <w:r>
        <w:t>height of 1.4 m is placed on a cart. There are 40 points on four</w:t>
      </w:r>
      <w:r>
        <w:rPr>
          <w:rFonts w:hint="eastAsia"/>
        </w:rPr>
        <w:t xml:space="preserve"> </w:t>
      </w:r>
      <w:r>
        <w:t>routes, of which 1-30 are non-line-of-sight (NLoS) points and</w:t>
      </w:r>
      <w:r>
        <w:rPr>
          <w:rFonts w:hint="eastAsia"/>
        </w:rPr>
        <w:t xml:space="preserve"> </w:t>
      </w:r>
      <w:r>
        <w:t>31-40 are line-of-sight (LoS) points. The distance between two</w:t>
      </w:r>
      <w:r>
        <w:rPr>
          <w:rFonts w:hint="eastAsia"/>
        </w:rPr>
        <w:t xml:space="preserve"> </w:t>
      </w:r>
      <w:r>
        <w:t>adjacent points is 1 m. The LoS and NLoS here specifically</w:t>
      </w:r>
      <w:r>
        <w:rPr>
          <w:rFonts w:hint="eastAsia"/>
        </w:rPr>
        <w:t xml:space="preserve"> </w:t>
      </w:r>
      <w:r>
        <w:t>refer to the paths between the TRX and CRX. Throughout</w:t>
      </w:r>
      <w:r>
        <w:rPr>
          <w:rFonts w:hint="eastAsia"/>
        </w:rPr>
        <w:t xml:space="preserve"> </w:t>
      </w:r>
      <w:r>
        <w:t>the measurement process, TRX faces due south, while CRX</w:t>
      </w:r>
      <w:r>
        <w:rPr>
          <w:rFonts w:hint="eastAsia"/>
        </w:rPr>
        <w:t xml:space="preserve"> </w:t>
      </w:r>
      <w:r>
        <w:t>faces due north. The TX UPA sends an orthogonal frequency</w:t>
      </w:r>
      <w:r>
        <w:rPr>
          <w:rFonts w:hint="eastAsia"/>
        </w:rPr>
        <w:t xml:space="preserve"> </w:t>
      </w:r>
      <w:r>
        <w:t>division multiplexing (OFDM) signal with a bandwidth of</w:t>
      </w:r>
      <w:r>
        <w:rPr>
          <w:rFonts w:hint="eastAsia"/>
        </w:rPr>
        <w:t xml:space="preserve"> </w:t>
      </w:r>
      <w:r>
        <w:t>200 MHz, and the SRX and CRX simultaneously receive</w:t>
      </w:r>
      <w:r>
        <w:rPr>
          <w:rFonts w:hint="eastAsia"/>
        </w:rPr>
        <w:t xml:space="preserve"> </w:t>
      </w:r>
      <w:r>
        <w:t>the signal.</w:t>
      </w:r>
    </w:p>
    <w:p w14:paraId="31AB4C52">
      <w:pPr>
        <w:jc w:val="both"/>
      </w:pPr>
      <w:r>
        <w:drawing>
          <wp:inline distT="0" distB="0" distL="0" distR="0">
            <wp:extent cx="2888615" cy="2442210"/>
            <wp:effectExtent l="0" t="0" r="698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5"/>
                    <a:stretch>
                      <a:fillRect/>
                    </a:stretch>
                  </pic:blipFill>
                  <pic:spPr>
                    <a:xfrm>
                      <a:off x="0" y="0"/>
                      <a:ext cx="2917981" cy="2467665"/>
                    </a:xfrm>
                    <a:prstGeom prst="rect">
                      <a:avLst/>
                    </a:prstGeom>
                  </pic:spPr>
                </pic:pic>
              </a:graphicData>
            </a:graphic>
          </wp:inline>
        </w:drawing>
      </w:r>
      <w:r>
        <w:drawing>
          <wp:inline distT="0" distB="0" distL="0" distR="0">
            <wp:extent cx="2280285" cy="2433320"/>
            <wp:effectExtent l="0" t="0" r="5715"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6"/>
                    <a:stretch>
                      <a:fillRect/>
                    </a:stretch>
                  </pic:blipFill>
                  <pic:spPr>
                    <a:xfrm>
                      <a:off x="0" y="0"/>
                      <a:ext cx="2291463" cy="2445058"/>
                    </a:xfrm>
                    <a:prstGeom prst="rect">
                      <a:avLst/>
                    </a:prstGeom>
                  </pic:spPr>
                </pic:pic>
              </a:graphicData>
            </a:graphic>
          </wp:inline>
        </w:drawing>
      </w:r>
    </w:p>
    <w:p w14:paraId="611A9198">
      <w:pPr>
        <w:jc w:val="center"/>
      </w:pPr>
      <w:r>
        <w:t>Fig. 2. ISAC channel measurement scenarios, (a) schematic diagram and (b) actual scenario.</w:t>
      </w:r>
    </w:p>
    <w:p w14:paraId="2AF0A6F4">
      <w:pPr>
        <w:jc w:val="center"/>
      </w:pPr>
    </w:p>
    <w:p w14:paraId="75A23BE5">
      <w:pPr>
        <w:pStyle w:val="3"/>
        <w:numPr>
          <w:ilvl w:val="1"/>
          <w:numId w:val="2"/>
        </w:numPr>
        <w:spacing w:before="156" w:after="156"/>
        <w:ind w:left="0" w:leftChars="0" w:firstLine="0" w:firstLineChars="0"/>
        <w:rPr>
          <w:rFonts w:hint="default"/>
          <w:b w:val="0"/>
          <w:bCs w:val="0"/>
          <w:sz w:val="28"/>
          <w:szCs w:val="28"/>
        </w:rPr>
      </w:pPr>
      <w:r>
        <w:rPr>
          <w:rFonts w:hint="default"/>
          <w:b w:val="0"/>
          <w:bCs w:val="0"/>
          <w:sz w:val="28"/>
          <w:szCs w:val="28"/>
        </w:rPr>
        <w:t>Measurement results</w:t>
      </w:r>
    </w:p>
    <w:p w14:paraId="26E75C78">
      <w:pPr>
        <w:pStyle w:val="10"/>
        <w:numPr>
          <w:numId w:val="0"/>
        </w:numPr>
        <w:jc w:val="both"/>
      </w:pPr>
      <w:r>
        <w:rPr>
          <w:rFonts w:hint="default"/>
          <w:lang w:val="en-US"/>
        </w:rPr>
        <w:t xml:space="preserve">2.2.1 </w:t>
      </w:r>
      <w:r>
        <w:t>Proportion of shared cluster power</w:t>
      </w:r>
      <w:r>
        <w:rPr>
          <w:rFonts w:hint="eastAsia"/>
        </w:rPr>
        <w:t xml:space="preserve"> </w:t>
      </w:r>
    </w:p>
    <w:p w14:paraId="28DF7181">
      <w:pPr>
        <w:ind w:firstLine="360" w:firstLineChars="150"/>
        <w:jc w:val="both"/>
      </w:pPr>
      <w:r>
        <w:rPr>
          <w:rFonts w:hint="eastAsia"/>
        </w:rPr>
        <w:t xml:space="preserve">The proportion of shared cluster power is an important indicator for quantifying the degree of similarity between the sensing channel and </w:t>
      </w:r>
      <w:r>
        <w:t xml:space="preserve">the </w:t>
      </w:r>
      <w:r>
        <w:rPr>
          <w:rFonts w:hint="eastAsia"/>
        </w:rPr>
        <w:t>communication channel. The higher proportion of shared cluster power</w:t>
      </w:r>
      <w:r>
        <w:t xml:space="preserve"> leads to</w:t>
      </w:r>
      <w:r>
        <w:rPr>
          <w:rFonts w:hint="eastAsia"/>
        </w:rPr>
        <w:t xml:space="preserve"> the higher utilization rate of the perceived physical environment information in the communication channel, and the more significant auxiliary effect of the sensing channel on the communication channel. Because the perceived scattering information can be shared with the communication channel, it reduces the randomness and modeling complexity of communication channel. The shared cluster power ratio of the sensing channel and </w:t>
      </w:r>
      <w:r>
        <w:t xml:space="preserve">the </w:t>
      </w:r>
      <w:r>
        <w:rPr>
          <w:rFonts w:hint="eastAsia"/>
        </w:rPr>
        <w:t>communication channel can be calculated as the ratio of the power of shared sub-paths to the total received power</w:t>
      </w:r>
      <w:r>
        <w:t>, i.e.,</w:t>
      </w:r>
    </w:p>
    <w:p w14:paraId="4FFA2119">
      <w:pPr>
        <w:pStyle w:val="13"/>
      </w:pPr>
      <w:r>
        <w:tab/>
      </w:r>
      <m:oMath>
        <m:sSubSup>
          <m:sSubSupPr>
            <m:ctrlPr>
              <w:rPr>
                <w:rFonts w:ascii="Cambria Math" w:hAnsi="Cambria Math"/>
                <w:i/>
              </w:rPr>
            </m:ctrlPr>
          </m:sSubSupPr>
          <m:e>
            <m:r>
              <m:rPr/>
              <w:rPr>
                <w:rFonts w:ascii="Cambria Math"/>
              </w:rPr>
              <m:t>η</m:t>
            </m:r>
            <m:ctrlPr>
              <w:rPr>
                <w:rFonts w:ascii="Cambria Math" w:hAnsi="Cambria Math"/>
                <w:i/>
              </w:rPr>
            </m:ctrlPr>
          </m:e>
          <m:sub>
            <m:r>
              <m:rPr/>
              <w:rPr>
                <w:rFonts w:ascii="Cambria Math"/>
              </w:rPr>
              <m:t>s</m:t>
            </m:r>
            <m:ctrlPr>
              <w:rPr>
                <w:rFonts w:ascii="Cambria Math" w:hAnsi="Cambria Math"/>
                <w:i/>
              </w:rPr>
            </m:ctrlPr>
          </m:sub>
          <m:sup>
            <m:r>
              <m:rPr/>
              <w:rPr>
                <w:rFonts w:ascii="Cambria Math"/>
              </w:rPr>
              <m:t>sℎare</m:t>
            </m:r>
            <m:ctrlPr>
              <w:rPr>
                <w:rFonts w:ascii="Cambria Math" w:hAnsi="Cambria Math"/>
                <w:i/>
              </w:rPr>
            </m:ctrlPr>
          </m:sup>
        </m:sSubSup>
        <m:r>
          <m:rPr/>
          <w:rPr>
            <w:rFonts w:ascii="Cambria Math"/>
          </w:rPr>
          <m:t>=</m:t>
        </m:r>
        <m:f>
          <m:fPr>
            <m:ctrlPr>
              <w:rPr>
                <w:rFonts w:ascii="Cambria Math" w:hAnsi="Cambria Math"/>
                <w:i/>
              </w:rPr>
            </m:ctrlPr>
          </m:fPr>
          <m:num>
            <m:sSubSup>
              <m:sSubSupPr>
                <m:ctrlPr>
                  <w:rPr>
                    <w:rFonts w:ascii="Cambria Math" w:hAnsi="Cambria Math"/>
                    <w:i/>
                  </w:rPr>
                </m:ctrlPr>
              </m:sSubSupPr>
              <m:e>
                <m:r>
                  <m:rPr/>
                  <w:rPr>
                    <w:rFonts w:ascii="Cambria Math"/>
                  </w:rPr>
                  <m:t>P</m:t>
                </m:r>
                <m:ctrlPr>
                  <w:rPr>
                    <w:rFonts w:ascii="Cambria Math" w:hAnsi="Cambria Math"/>
                    <w:i/>
                  </w:rPr>
                </m:ctrlPr>
              </m:e>
              <m:sub>
                <m:r>
                  <m:rPr/>
                  <w:rPr>
                    <w:rFonts w:ascii="Cambria Math"/>
                  </w:rPr>
                  <m:t>s</m:t>
                </m:r>
                <m:ctrlPr>
                  <w:rPr>
                    <w:rFonts w:ascii="Cambria Math" w:hAnsi="Cambria Math"/>
                    <w:i/>
                  </w:rPr>
                </m:ctrlPr>
              </m:sub>
              <m:sup>
                <m:r>
                  <m:rPr/>
                  <w:rPr>
                    <w:rFonts w:ascii="Cambria Math"/>
                  </w:rPr>
                  <m:t>sℎare</m:t>
                </m:r>
                <m:ctrlPr>
                  <w:rPr>
                    <w:rFonts w:ascii="Cambria Math" w:hAnsi="Cambria Math"/>
                    <w:i/>
                  </w:rPr>
                </m:ctrlPr>
              </m:sup>
            </m:sSubSup>
            <m:ctrlPr>
              <w:rPr>
                <w:rFonts w:ascii="Cambria Math" w:hAnsi="Cambria Math"/>
                <w:i/>
              </w:rPr>
            </m:ctrlPr>
          </m:num>
          <m:den>
            <m:sSub>
              <m:sSubPr>
                <m:ctrlPr>
                  <w:rPr>
                    <w:rFonts w:ascii="Cambria Math" w:hAnsi="Cambria Math"/>
                    <w:i/>
                  </w:rPr>
                </m:ctrlPr>
              </m:sSubPr>
              <m:e>
                <m:r>
                  <m:rPr/>
                  <w:rPr>
                    <w:rFonts w:ascii="Cambria Math"/>
                  </w:rPr>
                  <m:t>P</m:t>
                </m:r>
                <m:ctrlPr>
                  <w:rPr>
                    <w:rFonts w:ascii="Cambria Math" w:hAnsi="Cambria Math"/>
                    <w:i/>
                  </w:rPr>
                </m:ctrlPr>
              </m:e>
              <m:sub>
                <m:r>
                  <m:rPr/>
                  <w:rPr>
                    <w:rFonts w:ascii="Cambria Math"/>
                  </w:rPr>
                  <m:t>s</m:t>
                </m:r>
                <m:ctrlPr>
                  <w:rPr>
                    <w:rFonts w:ascii="Cambria Math" w:hAnsi="Cambria Math"/>
                    <w:i/>
                  </w:rPr>
                </m:ctrlPr>
              </m:sub>
            </m:sSub>
            <m:ctrlPr>
              <w:rPr>
                <w:rFonts w:ascii="Cambria Math" w:hAnsi="Cambria Math"/>
                <w:i/>
              </w:rPr>
            </m:ctrlPr>
          </m:den>
        </m:f>
        <m:r>
          <m:rPr/>
          <w:rPr>
            <w:rFonts w:ascii="Cambria Math"/>
          </w:rPr>
          <m:t>=</m:t>
        </m:r>
        <m:f>
          <m:fPr>
            <m:ctrlPr>
              <w:rPr>
                <w:rFonts w:ascii="Cambria Math" w:hAnsi="Cambria Math"/>
                <w:i/>
              </w:rPr>
            </m:ctrlPr>
          </m:fPr>
          <m:num>
            <m:nary>
              <m:naryPr>
                <m:chr m:val="∑"/>
                <m:supHide m:val="1"/>
                <m:ctrlPr>
                  <w:rPr>
                    <w:rFonts w:ascii="Cambria Math" w:hAnsi="Cambria Math"/>
                    <w:i/>
                  </w:rPr>
                </m:ctrlPr>
              </m:naryPr>
              <m:sub>
                <m:r>
                  <m:rPr/>
                  <w:rPr>
                    <w:rFonts w:ascii="Cambria Math"/>
                  </w:rPr>
                  <m:t>l=sℎare</m:t>
                </m:r>
                <m:ctrlPr>
                  <w:rPr>
                    <w:rFonts w:ascii="Cambria Math" w:hAnsi="Cambria Math"/>
                    <w:i/>
                  </w:rPr>
                </m:ctrlPr>
              </m:sub>
              <m:sup>
                <m:ctrlPr>
                  <w:rPr>
                    <w:rFonts w:ascii="Cambria Math" w:hAnsi="Cambria Math"/>
                    <w:i/>
                  </w:rPr>
                </m:ctrlP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w:rPr>
                                <w:rFonts w:ascii="Cambria Math"/>
                              </w:rPr>
                              <m:t>α</m:t>
                            </m:r>
                            <m:ctrlPr>
                              <w:rPr>
                                <w:rFonts w:ascii="Cambria Math" w:hAnsi="Cambria Math"/>
                                <w:i/>
                              </w:rPr>
                            </m:ctrlPr>
                          </m:e>
                          <m:sub>
                            <m:r>
                              <m:rPr/>
                              <w:rPr>
                                <w:rFonts w:ascii="Cambria Math"/>
                              </w:rPr>
                              <m:t>s,l</m:t>
                            </m:r>
                            <m:ctrlPr>
                              <w:rPr>
                                <w:rFonts w:ascii="Cambria Math" w:hAnsi="Cambria Math"/>
                                <w:i/>
                              </w:rPr>
                            </m:ctrlPr>
                          </m:sub>
                        </m:sSub>
                        <m:ctrlPr>
                          <w:rPr>
                            <w:rFonts w:ascii="Cambria Math" w:hAnsi="Cambria Math"/>
                            <w:i/>
                          </w:rPr>
                        </m:ctrlPr>
                      </m:e>
                    </m:d>
                    <m:ctrlPr>
                      <w:rPr>
                        <w:rFonts w:ascii="Cambria Math" w:hAnsi="Cambria Math"/>
                        <w:i/>
                      </w:rPr>
                    </m:ctrlPr>
                  </m:e>
                  <m:sup>
                    <m:r>
                      <m:rPr/>
                      <w:rPr>
                        <w:rFonts w:ascii="Cambria Math"/>
                      </w:rPr>
                      <m:t>2</m:t>
                    </m:r>
                    <m:ctrlPr>
                      <w:rPr>
                        <w:rFonts w:ascii="Cambria Math" w:hAnsi="Cambria Math"/>
                        <w:i/>
                      </w:rPr>
                    </m:ctrlPr>
                  </m:sup>
                </m:sSup>
                <m:ctrlPr>
                  <w:rPr>
                    <w:rFonts w:ascii="Cambria Math" w:hAnsi="Cambria Math"/>
                    <w:i/>
                  </w:rPr>
                </m:ctrlPr>
              </m:e>
            </m:nary>
            <m:ctrlPr>
              <w:rPr>
                <w:rFonts w:ascii="Cambria Math" w:hAnsi="Cambria Math"/>
                <w:i/>
              </w:rPr>
            </m:ctrlPr>
          </m:num>
          <m:den>
            <m:nary>
              <m:naryPr>
                <m:chr m:val="∑"/>
                <m:ctrlPr>
                  <w:rPr>
                    <w:rFonts w:ascii="Cambria Math" w:hAnsi="Cambria Math"/>
                    <w:i/>
                  </w:rPr>
                </m:ctrlPr>
              </m:naryPr>
              <m:sub>
                <m:r>
                  <m:rPr/>
                  <w:rPr>
                    <w:rFonts w:ascii="Cambria Math"/>
                  </w:rPr>
                  <m:t>l=1</m:t>
                </m:r>
                <m:ctrlPr>
                  <w:rPr>
                    <w:rFonts w:ascii="Cambria Math" w:hAnsi="Cambria Math"/>
                    <w:i/>
                  </w:rPr>
                </m:ctrlPr>
              </m:sub>
              <m:sup>
                <m:sSub>
                  <m:sSubPr>
                    <m:ctrlPr>
                      <w:rPr>
                        <w:rFonts w:ascii="Cambria Math" w:hAnsi="Cambria Math"/>
                        <w:i/>
                      </w:rPr>
                    </m:ctrlPr>
                  </m:sSubPr>
                  <m:e>
                    <m:r>
                      <m:rPr/>
                      <w:rPr>
                        <w:rFonts w:ascii="Cambria Math"/>
                      </w:rPr>
                      <m:t>L</m:t>
                    </m:r>
                    <m:ctrlPr>
                      <w:rPr>
                        <w:rFonts w:ascii="Cambria Math" w:hAnsi="Cambria Math"/>
                        <w:i/>
                      </w:rPr>
                    </m:ctrlPr>
                  </m:e>
                  <m:sub>
                    <m:r>
                      <m:rPr/>
                      <w:rPr>
                        <w:rFonts w:ascii="Cambria Math"/>
                      </w:rPr>
                      <m:t>s</m:t>
                    </m:r>
                    <m:ctrlPr>
                      <w:rPr>
                        <w:rFonts w:ascii="Cambria Math" w:hAnsi="Cambria Math"/>
                        <w:i/>
                      </w:rPr>
                    </m:ctrlPr>
                  </m:sub>
                </m:sSub>
                <m:ctrlPr>
                  <w:rPr>
                    <w:rFonts w:ascii="Cambria Math" w:hAnsi="Cambria Math"/>
                    <w:i/>
                  </w:rPr>
                </m:ctrlP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w:rPr>
                                <w:rFonts w:ascii="Cambria Math"/>
                              </w:rPr>
                              <m:t>α</m:t>
                            </m:r>
                            <m:ctrlPr>
                              <w:rPr>
                                <w:rFonts w:ascii="Cambria Math" w:hAnsi="Cambria Math"/>
                                <w:i/>
                              </w:rPr>
                            </m:ctrlPr>
                          </m:e>
                          <m:sub>
                            <m:r>
                              <m:rPr/>
                              <w:rPr>
                                <w:rFonts w:ascii="Cambria Math"/>
                              </w:rPr>
                              <m:t>s,l</m:t>
                            </m:r>
                            <m:ctrlPr>
                              <w:rPr>
                                <w:rFonts w:ascii="Cambria Math" w:hAnsi="Cambria Math"/>
                                <w:i/>
                              </w:rPr>
                            </m:ctrlPr>
                          </m:sub>
                        </m:sSub>
                        <m:ctrlPr>
                          <w:rPr>
                            <w:rFonts w:ascii="Cambria Math" w:hAnsi="Cambria Math"/>
                            <w:i/>
                          </w:rPr>
                        </m:ctrlPr>
                      </m:e>
                    </m:d>
                    <m:ctrlPr>
                      <w:rPr>
                        <w:rFonts w:ascii="Cambria Math" w:hAnsi="Cambria Math"/>
                        <w:i/>
                      </w:rPr>
                    </m:ctrlPr>
                  </m:e>
                  <m:sup>
                    <m:r>
                      <m:rPr/>
                      <w:rPr>
                        <w:rFonts w:ascii="Cambria Math"/>
                      </w:rPr>
                      <m:t>2</m:t>
                    </m:r>
                    <m:ctrlPr>
                      <w:rPr>
                        <w:rFonts w:ascii="Cambria Math" w:hAnsi="Cambria Math"/>
                        <w:i/>
                      </w:rPr>
                    </m:ctrlPr>
                  </m:sup>
                </m:sSup>
                <m:ctrlPr>
                  <w:rPr>
                    <w:rFonts w:ascii="Cambria Math" w:hAnsi="Cambria Math"/>
                    <w:i/>
                  </w:rPr>
                </m:ctrlPr>
              </m:e>
            </m:nary>
            <m:ctrlPr>
              <w:rPr>
                <w:rFonts w:ascii="Cambria Math" w:hAnsi="Cambria Math"/>
                <w:i/>
              </w:rPr>
            </m:ctrlPr>
          </m:den>
        </m:f>
      </m:oMath>
      <w:r>
        <w:tab/>
      </w:r>
      <w:r>
        <w:fldChar w:fldCharType="begin"/>
      </w:r>
      <w:r>
        <w:instrText xml:space="preserve"> MACROBUTTON MTPlaceRef \* MERGEFORMAT </w:instrText>
      </w:r>
      <w:r>
        <w:fldChar w:fldCharType="begin"/>
      </w:r>
      <w:r>
        <w:instrText xml:space="preserve"> SEQ MTEqn \h \* MERGEFORMAT </w:instrText>
      </w:r>
      <w:r>
        <w:fldChar w:fldCharType="end"/>
      </w:r>
      <w:r>
        <w:instrText xml:space="preserve">(</w:instrText>
      </w:r>
      <w:r>
        <w:fldChar w:fldCharType="begin"/>
      </w:r>
      <w:r>
        <w:instrText xml:space="preserve"> SEQ MTSec \c \* Arabic \* MERGEFORMAT </w:instrText>
      </w:r>
      <w:r>
        <w:fldChar w:fldCharType="separate"/>
      </w:r>
      <w:r>
        <w:instrText xml:space="preserve">2</w:instrText>
      </w:r>
      <w:r>
        <w:fldChar w:fldCharType="end"/>
      </w:r>
      <w:r>
        <w:instrText xml:space="preserve">.</w:instrText>
      </w:r>
      <w:r>
        <w:fldChar w:fldCharType="begin"/>
      </w:r>
      <w:r>
        <w:instrText xml:space="preserve"> SEQ MTEqn \c \* Arabic \* MERGEFORMAT </w:instrText>
      </w:r>
      <w:r>
        <w:fldChar w:fldCharType="separate"/>
      </w:r>
      <w:r>
        <w:instrText xml:space="preserve">1</w:instrText>
      </w:r>
      <w:r>
        <w:fldChar w:fldCharType="end"/>
      </w:r>
      <w:r>
        <w:instrText xml:space="preserve">)</w:instrText>
      </w:r>
      <w:r>
        <w:fldChar w:fldCharType="end"/>
      </w:r>
    </w:p>
    <w:p w14:paraId="2D43B29C">
      <w:pPr>
        <w:pStyle w:val="13"/>
      </w:pPr>
      <w:r>
        <w:tab/>
      </w:r>
      <m:oMath>
        <m:sSubSup>
          <m:sSubSupPr>
            <m:ctrlPr>
              <w:rPr>
                <w:rFonts w:ascii="Cambria Math" w:hAnsi="Cambria Math"/>
                <w:i/>
              </w:rPr>
            </m:ctrlPr>
          </m:sSubSupPr>
          <m:e>
            <m:r>
              <m:rPr/>
              <w:rPr>
                <w:rFonts w:ascii="Cambria Math"/>
              </w:rPr>
              <m:t>η</m:t>
            </m:r>
            <m:ctrlPr>
              <w:rPr>
                <w:rFonts w:ascii="Cambria Math" w:hAnsi="Cambria Math"/>
                <w:i/>
              </w:rPr>
            </m:ctrlPr>
          </m:e>
          <m:sub>
            <m:r>
              <m:rPr/>
              <w:rPr>
                <w:rFonts w:ascii="Cambria Math"/>
              </w:rPr>
              <m:t>c</m:t>
            </m:r>
            <m:ctrlPr>
              <w:rPr>
                <w:rFonts w:ascii="Cambria Math" w:hAnsi="Cambria Math"/>
                <w:i/>
              </w:rPr>
            </m:ctrlPr>
          </m:sub>
          <m:sup>
            <m:r>
              <m:rPr/>
              <w:rPr>
                <w:rFonts w:ascii="Cambria Math"/>
              </w:rPr>
              <m:t>sℎare</m:t>
            </m:r>
            <m:ctrlPr>
              <w:rPr>
                <w:rFonts w:ascii="Cambria Math" w:hAnsi="Cambria Math"/>
                <w:i/>
              </w:rPr>
            </m:ctrlPr>
          </m:sup>
        </m:sSubSup>
        <m:r>
          <m:rPr/>
          <w:rPr>
            <w:rFonts w:ascii="Cambria Math"/>
          </w:rPr>
          <m:t>=</m:t>
        </m:r>
        <m:f>
          <m:fPr>
            <m:ctrlPr>
              <w:rPr>
                <w:rFonts w:ascii="Cambria Math" w:hAnsi="Cambria Math"/>
                <w:i/>
              </w:rPr>
            </m:ctrlPr>
          </m:fPr>
          <m:num>
            <m:sSubSup>
              <m:sSubSupPr>
                <m:ctrlPr>
                  <w:rPr>
                    <w:rFonts w:ascii="Cambria Math" w:hAnsi="Cambria Math"/>
                    <w:i/>
                  </w:rPr>
                </m:ctrlPr>
              </m:sSubSupPr>
              <m:e>
                <m:r>
                  <m:rPr/>
                  <w:rPr>
                    <w:rFonts w:ascii="Cambria Math"/>
                  </w:rPr>
                  <m:t>P</m:t>
                </m:r>
                <m:ctrlPr>
                  <w:rPr>
                    <w:rFonts w:ascii="Cambria Math" w:hAnsi="Cambria Math"/>
                    <w:i/>
                  </w:rPr>
                </m:ctrlPr>
              </m:e>
              <m:sub>
                <m:r>
                  <m:rPr/>
                  <w:rPr>
                    <w:rFonts w:ascii="Cambria Math"/>
                  </w:rPr>
                  <m:t>c</m:t>
                </m:r>
                <m:ctrlPr>
                  <w:rPr>
                    <w:rFonts w:ascii="Cambria Math" w:hAnsi="Cambria Math"/>
                    <w:i/>
                  </w:rPr>
                </m:ctrlPr>
              </m:sub>
              <m:sup>
                <m:r>
                  <m:rPr/>
                  <w:rPr>
                    <w:rFonts w:ascii="Cambria Math"/>
                  </w:rPr>
                  <m:t>sℎare</m:t>
                </m:r>
                <m:ctrlPr>
                  <w:rPr>
                    <w:rFonts w:ascii="Cambria Math" w:hAnsi="Cambria Math"/>
                    <w:i/>
                  </w:rPr>
                </m:ctrlPr>
              </m:sup>
            </m:sSubSup>
            <m:ctrlPr>
              <w:rPr>
                <w:rFonts w:ascii="Cambria Math" w:hAnsi="Cambria Math"/>
                <w:i/>
              </w:rPr>
            </m:ctrlPr>
          </m:num>
          <m:den>
            <m:sSub>
              <m:sSubPr>
                <m:ctrlPr>
                  <w:rPr>
                    <w:rFonts w:ascii="Cambria Math" w:hAnsi="Cambria Math"/>
                    <w:i/>
                  </w:rPr>
                </m:ctrlPr>
              </m:sSubPr>
              <m:e>
                <m:r>
                  <m:rPr/>
                  <w:rPr>
                    <w:rFonts w:ascii="Cambria Math"/>
                  </w:rPr>
                  <m:t>P</m:t>
                </m:r>
                <m:ctrlPr>
                  <w:rPr>
                    <w:rFonts w:ascii="Cambria Math" w:hAnsi="Cambria Math"/>
                    <w:i/>
                  </w:rPr>
                </m:ctrlPr>
              </m:e>
              <m:sub>
                <m:r>
                  <m:rPr/>
                  <w:rPr>
                    <w:rFonts w:ascii="Cambria Math"/>
                  </w:rPr>
                  <m:t>c</m:t>
                </m:r>
                <m:ctrlPr>
                  <w:rPr>
                    <w:rFonts w:ascii="Cambria Math" w:hAnsi="Cambria Math"/>
                    <w:i/>
                  </w:rPr>
                </m:ctrlPr>
              </m:sub>
            </m:sSub>
            <m:ctrlPr>
              <w:rPr>
                <w:rFonts w:ascii="Cambria Math" w:hAnsi="Cambria Math"/>
                <w:i/>
              </w:rPr>
            </m:ctrlPr>
          </m:den>
        </m:f>
        <m:r>
          <m:rPr/>
          <w:rPr>
            <w:rFonts w:ascii="Cambria Math"/>
          </w:rPr>
          <m:t>=</m:t>
        </m:r>
        <m:f>
          <m:fPr>
            <m:ctrlPr>
              <w:rPr>
                <w:rFonts w:ascii="Cambria Math" w:hAnsi="Cambria Math"/>
                <w:i/>
              </w:rPr>
            </m:ctrlPr>
          </m:fPr>
          <m:num>
            <m:nary>
              <m:naryPr>
                <m:chr m:val="∑"/>
                <m:supHide m:val="1"/>
                <m:ctrlPr>
                  <w:rPr>
                    <w:rFonts w:ascii="Cambria Math" w:hAnsi="Cambria Math"/>
                    <w:i/>
                  </w:rPr>
                </m:ctrlPr>
              </m:naryPr>
              <m:sub>
                <m:r>
                  <m:rPr/>
                  <w:rPr>
                    <w:rFonts w:ascii="Cambria Math"/>
                  </w:rPr>
                  <m:t>l=sℎare</m:t>
                </m:r>
                <m:ctrlPr>
                  <w:rPr>
                    <w:rFonts w:ascii="Cambria Math" w:hAnsi="Cambria Math"/>
                    <w:i/>
                  </w:rPr>
                </m:ctrlPr>
              </m:sub>
              <m:sup>
                <m:ctrlPr>
                  <w:rPr>
                    <w:rFonts w:ascii="Cambria Math" w:hAnsi="Cambria Math"/>
                    <w:i/>
                  </w:rPr>
                </m:ctrlP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w:rPr>
                                <w:rFonts w:ascii="Cambria Math"/>
                              </w:rPr>
                              <m:t>α</m:t>
                            </m:r>
                            <m:ctrlPr>
                              <w:rPr>
                                <w:rFonts w:ascii="Cambria Math" w:hAnsi="Cambria Math"/>
                                <w:i/>
                              </w:rPr>
                            </m:ctrlPr>
                          </m:e>
                          <m:sub>
                            <m:r>
                              <m:rPr/>
                              <w:rPr>
                                <w:rFonts w:ascii="Cambria Math"/>
                              </w:rPr>
                              <m:t>c,l</m:t>
                            </m:r>
                            <m:ctrlPr>
                              <w:rPr>
                                <w:rFonts w:ascii="Cambria Math" w:hAnsi="Cambria Math"/>
                                <w:i/>
                              </w:rPr>
                            </m:ctrlPr>
                          </m:sub>
                        </m:sSub>
                        <m:ctrlPr>
                          <w:rPr>
                            <w:rFonts w:ascii="Cambria Math" w:hAnsi="Cambria Math"/>
                            <w:i/>
                          </w:rPr>
                        </m:ctrlPr>
                      </m:e>
                    </m:d>
                    <m:ctrlPr>
                      <w:rPr>
                        <w:rFonts w:ascii="Cambria Math" w:hAnsi="Cambria Math"/>
                        <w:i/>
                      </w:rPr>
                    </m:ctrlPr>
                  </m:e>
                  <m:sup>
                    <m:r>
                      <m:rPr/>
                      <w:rPr>
                        <w:rFonts w:ascii="Cambria Math"/>
                      </w:rPr>
                      <m:t>2</m:t>
                    </m:r>
                    <m:ctrlPr>
                      <w:rPr>
                        <w:rFonts w:ascii="Cambria Math" w:hAnsi="Cambria Math"/>
                        <w:i/>
                      </w:rPr>
                    </m:ctrlPr>
                  </m:sup>
                </m:sSup>
                <m:ctrlPr>
                  <w:rPr>
                    <w:rFonts w:ascii="Cambria Math" w:hAnsi="Cambria Math"/>
                    <w:i/>
                  </w:rPr>
                </m:ctrlPr>
              </m:e>
            </m:nary>
            <m:ctrlPr>
              <w:rPr>
                <w:rFonts w:ascii="Cambria Math" w:hAnsi="Cambria Math"/>
                <w:i/>
              </w:rPr>
            </m:ctrlPr>
          </m:num>
          <m:den>
            <m:nary>
              <m:naryPr>
                <m:chr m:val="∑"/>
                <m:ctrlPr>
                  <w:rPr>
                    <w:rFonts w:ascii="Cambria Math" w:hAnsi="Cambria Math"/>
                    <w:i/>
                  </w:rPr>
                </m:ctrlPr>
              </m:naryPr>
              <m:sub>
                <m:r>
                  <m:rPr/>
                  <w:rPr>
                    <w:rFonts w:ascii="Cambria Math"/>
                  </w:rPr>
                  <m:t>l=1</m:t>
                </m:r>
                <m:ctrlPr>
                  <w:rPr>
                    <w:rFonts w:ascii="Cambria Math" w:hAnsi="Cambria Math"/>
                    <w:i/>
                  </w:rPr>
                </m:ctrlPr>
              </m:sub>
              <m:sup>
                <m:sSub>
                  <m:sSubPr>
                    <m:ctrlPr>
                      <w:rPr>
                        <w:rFonts w:ascii="Cambria Math" w:hAnsi="Cambria Math"/>
                        <w:i/>
                      </w:rPr>
                    </m:ctrlPr>
                  </m:sSubPr>
                  <m:e>
                    <m:r>
                      <m:rPr/>
                      <w:rPr>
                        <w:rFonts w:ascii="Cambria Math"/>
                      </w:rPr>
                      <m:t>L</m:t>
                    </m:r>
                    <m:ctrlPr>
                      <w:rPr>
                        <w:rFonts w:ascii="Cambria Math" w:hAnsi="Cambria Math"/>
                        <w:i/>
                      </w:rPr>
                    </m:ctrlPr>
                  </m:e>
                  <m:sub>
                    <m:r>
                      <m:rPr/>
                      <w:rPr>
                        <w:rFonts w:ascii="Cambria Math"/>
                      </w:rPr>
                      <m:t>c</m:t>
                    </m:r>
                    <m:ctrlPr>
                      <w:rPr>
                        <w:rFonts w:ascii="Cambria Math" w:hAnsi="Cambria Math"/>
                        <w:i/>
                      </w:rPr>
                    </m:ctrlPr>
                  </m:sub>
                </m:sSub>
                <m:ctrlPr>
                  <w:rPr>
                    <w:rFonts w:ascii="Cambria Math" w:hAnsi="Cambria Math"/>
                    <w:i/>
                  </w:rPr>
                </m:ctrlP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w:rPr>
                                <w:rFonts w:ascii="Cambria Math"/>
                              </w:rPr>
                              <m:t>α</m:t>
                            </m:r>
                            <m:ctrlPr>
                              <w:rPr>
                                <w:rFonts w:ascii="Cambria Math" w:hAnsi="Cambria Math"/>
                                <w:i/>
                              </w:rPr>
                            </m:ctrlPr>
                          </m:e>
                          <m:sub>
                            <m:r>
                              <m:rPr/>
                              <w:rPr>
                                <w:rFonts w:ascii="Cambria Math"/>
                              </w:rPr>
                              <m:t>c,l</m:t>
                            </m:r>
                            <m:ctrlPr>
                              <w:rPr>
                                <w:rFonts w:ascii="Cambria Math" w:hAnsi="Cambria Math"/>
                                <w:i/>
                              </w:rPr>
                            </m:ctrlPr>
                          </m:sub>
                        </m:sSub>
                        <m:ctrlPr>
                          <w:rPr>
                            <w:rFonts w:ascii="Cambria Math" w:hAnsi="Cambria Math"/>
                            <w:i/>
                          </w:rPr>
                        </m:ctrlPr>
                      </m:e>
                    </m:d>
                    <m:ctrlPr>
                      <w:rPr>
                        <w:rFonts w:ascii="Cambria Math" w:hAnsi="Cambria Math"/>
                        <w:i/>
                      </w:rPr>
                    </m:ctrlPr>
                  </m:e>
                  <m:sup>
                    <m:r>
                      <m:rPr/>
                      <w:rPr>
                        <w:rFonts w:ascii="Cambria Math"/>
                      </w:rPr>
                      <m:t>2</m:t>
                    </m:r>
                    <m:ctrlPr>
                      <w:rPr>
                        <w:rFonts w:ascii="Cambria Math" w:hAnsi="Cambria Math"/>
                        <w:i/>
                      </w:rPr>
                    </m:ctrlPr>
                  </m:sup>
                </m:sSup>
                <m:ctrlPr>
                  <w:rPr>
                    <w:rFonts w:ascii="Cambria Math" w:hAnsi="Cambria Math"/>
                    <w:i/>
                  </w:rPr>
                </m:ctrlPr>
              </m:e>
            </m:nary>
            <m:ctrlPr>
              <w:rPr>
                <w:rFonts w:ascii="Cambria Math" w:hAnsi="Cambria Math"/>
                <w:i/>
              </w:rPr>
            </m:ctrlPr>
          </m:den>
        </m:f>
      </m:oMath>
      <w:r>
        <w:tab/>
      </w:r>
      <w:r>
        <w:fldChar w:fldCharType="begin"/>
      </w:r>
      <w:r>
        <w:instrText xml:space="preserve"> MACROBUTTON MTPlaceRef \* MERGEFORMAT </w:instrText>
      </w:r>
      <w:r>
        <w:fldChar w:fldCharType="begin"/>
      </w:r>
      <w:r>
        <w:instrText xml:space="preserve"> SEQ MTEqn \h \* MERGEFORMAT </w:instrText>
      </w:r>
      <w:r>
        <w:fldChar w:fldCharType="end"/>
      </w:r>
      <w:r>
        <w:instrText xml:space="preserve">(</w:instrText>
      </w:r>
      <w:r>
        <w:fldChar w:fldCharType="begin"/>
      </w:r>
      <w:r>
        <w:instrText xml:space="preserve"> SEQ MTSec \c \* Arabic \* MERGEFORMAT </w:instrText>
      </w:r>
      <w:r>
        <w:fldChar w:fldCharType="separate"/>
      </w:r>
      <w:r>
        <w:instrText xml:space="preserve">2</w:instrText>
      </w:r>
      <w:r>
        <w:fldChar w:fldCharType="end"/>
      </w:r>
      <w:r>
        <w:instrText xml:space="preserve">.</w:instrText>
      </w:r>
      <w:r>
        <w:fldChar w:fldCharType="begin"/>
      </w:r>
      <w:r>
        <w:instrText xml:space="preserve"> SEQ MTEqn \c \* Arabic \* MERGEFORMAT </w:instrText>
      </w:r>
      <w:r>
        <w:fldChar w:fldCharType="separate"/>
      </w:r>
      <w:r>
        <w:instrText xml:space="preserve">2</w:instrText>
      </w:r>
      <w:r>
        <w:fldChar w:fldCharType="end"/>
      </w:r>
      <w:r>
        <w:instrText xml:space="preserve">)</w:instrText>
      </w:r>
      <w:r>
        <w:fldChar w:fldCharType="end"/>
      </w:r>
    </w:p>
    <w:p w14:paraId="741AA830">
      <w:pPr>
        <w:jc w:val="both"/>
        <w:rPr>
          <w:rFonts w:eastAsia="等线"/>
          <w:sz w:val="21"/>
          <w:szCs w:val="21"/>
        </w:rPr>
      </w:pPr>
      <w:r>
        <w:rPr>
          <w:rFonts w:hint="eastAsia"/>
        </w:rPr>
        <w:t xml:space="preserve">where </w:t>
      </w:r>
      <m:oMath>
        <m:sSubSup>
          <m:sSubSupPr>
            <m:ctrlPr>
              <w:rPr>
                <w:rFonts w:ascii="Cambria Math" w:hAnsi="Cambria Math"/>
                <w:i/>
              </w:rPr>
            </m:ctrlPr>
          </m:sSubSupPr>
          <m:e>
            <m:r>
              <m:rPr/>
              <w:rPr>
                <w:rFonts w:ascii="Cambria Math"/>
              </w:rPr>
              <m:t>P</m:t>
            </m:r>
            <m:ctrlPr>
              <w:rPr>
                <w:rFonts w:ascii="Cambria Math" w:hAnsi="Cambria Math"/>
                <w:i/>
              </w:rPr>
            </m:ctrlPr>
          </m:e>
          <m:sub>
            <m:r>
              <m:rPr/>
              <w:rPr>
                <w:rFonts w:ascii="Cambria Math"/>
              </w:rPr>
              <m:t>s</m:t>
            </m:r>
            <m:ctrlPr>
              <w:rPr>
                <w:rFonts w:ascii="Cambria Math" w:hAnsi="Cambria Math"/>
                <w:i/>
              </w:rPr>
            </m:ctrlPr>
          </m:sub>
          <m:sup>
            <m:r>
              <m:rPr/>
              <w:rPr>
                <w:rFonts w:ascii="Cambria Math"/>
              </w:rPr>
              <m:t>sℎare</m:t>
            </m:r>
            <m:ctrlPr>
              <w:rPr>
                <w:rFonts w:ascii="Cambria Math" w:hAnsi="Cambria Math"/>
                <w:i/>
              </w:rPr>
            </m:ctrlPr>
          </m:sup>
        </m:sSubSup>
        <m:r>
          <m:rPr/>
          <w:rPr>
            <w:rFonts w:ascii="Cambria Math"/>
          </w:rPr>
          <m:t>=</m:t>
        </m:r>
        <m:nary>
          <m:naryPr>
            <m:chr m:val="∑"/>
            <m:supHide m:val="1"/>
            <m:ctrlPr>
              <w:rPr>
                <w:rFonts w:ascii="Cambria Math" w:hAnsi="Cambria Math"/>
                <w:i/>
              </w:rPr>
            </m:ctrlPr>
          </m:naryPr>
          <m:sub>
            <m:r>
              <m:rPr/>
              <w:rPr>
                <w:rFonts w:ascii="Cambria Math"/>
              </w:rPr>
              <m:t>l=sℎare</m:t>
            </m:r>
            <m:ctrlPr>
              <w:rPr>
                <w:rFonts w:ascii="Cambria Math" w:hAnsi="Cambria Math"/>
                <w:i/>
              </w:rPr>
            </m:ctrlPr>
          </m:sub>
          <m:sup>
            <m:ctrlPr>
              <w:rPr>
                <w:rFonts w:ascii="Cambria Math" w:hAnsi="Cambria Math"/>
                <w:i/>
              </w:rPr>
            </m:ctrlP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w:rPr>
                            <w:rFonts w:ascii="Cambria Math"/>
                          </w:rPr>
                          <m:t>α</m:t>
                        </m:r>
                        <m:ctrlPr>
                          <w:rPr>
                            <w:rFonts w:ascii="Cambria Math" w:hAnsi="Cambria Math"/>
                            <w:i/>
                          </w:rPr>
                        </m:ctrlPr>
                      </m:e>
                      <m:sub>
                        <m:r>
                          <m:rPr/>
                          <w:rPr>
                            <w:rFonts w:ascii="Cambria Math"/>
                          </w:rPr>
                          <m:t>s,l</m:t>
                        </m:r>
                        <m:ctrlPr>
                          <w:rPr>
                            <w:rFonts w:ascii="Cambria Math" w:hAnsi="Cambria Math"/>
                            <w:i/>
                          </w:rPr>
                        </m:ctrlPr>
                      </m:sub>
                    </m:sSub>
                    <m:ctrlPr>
                      <w:rPr>
                        <w:rFonts w:ascii="Cambria Math" w:hAnsi="Cambria Math"/>
                        <w:i/>
                      </w:rPr>
                    </m:ctrlPr>
                  </m:e>
                </m:d>
                <m:ctrlPr>
                  <w:rPr>
                    <w:rFonts w:ascii="Cambria Math" w:hAnsi="Cambria Math"/>
                    <w:i/>
                  </w:rPr>
                </m:ctrlPr>
              </m:e>
              <m:sup>
                <m:r>
                  <m:rPr/>
                  <w:rPr>
                    <w:rFonts w:ascii="Cambria Math"/>
                  </w:rPr>
                  <m:t>2</m:t>
                </m:r>
                <m:ctrlPr>
                  <w:rPr>
                    <w:rFonts w:ascii="Cambria Math" w:hAnsi="Cambria Math"/>
                    <w:i/>
                  </w:rPr>
                </m:ctrlPr>
              </m:sup>
            </m:sSup>
            <m:ctrlPr>
              <w:rPr>
                <w:rFonts w:ascii="Cambria Math" w:hAnsi="Cambria Math"/>
                <w:i/>
              </w:rPr>
            </m:ctrlPr>
          </m:e>
        </m:nary>
      </m:oMath>
      <w:r>
        <w:rPr>
          <w:rFonts w:hint="eastAsia"/>
        </w:rPr>
        <w:t xml:space="preserve"> and </w:t>
      </w:r>
      <m:oMath>
        <m:sSubSup>
          <m:sSubSupPr>
            <m:ctrlPr>
              <w:rPr>
                <w:rFonts w:ascii="Cambria Math" w:hAnsi="Cambria Math"/>
                <w:i/>
              </w:rPr>
            </m:ctrlPr>
          </m:sSubSupPr>
          <m:e>
            <m:r>
              <m:rPr/>
              <w:rPr>
                <w:rFonts w:ascii="Cambria Math"/>
              </w:rPr>
              <m:t>P</m:t>
            </m:r>
            <m:ctrlPr>
              <w:rPr>
                <w:rFonts w:ascii="Cambria Math" w:hAnsi="Cambria Math"/>
                <w:i/>
              </w:rPr>
            </m:ctrlPr>
          </m:e>
          <m:sub>
            <m:r>
              <m:rPr/>
              <w:rPr>
                <w:rFonts w:ascii="Cambria Math"/>
              </w:rPr>
              <m:t>c</m:t>
            </m:r>
            <m:ctrlPr>
              <w:rPr>
                <w:rFonts w:ascii="Cambria Math" w:hAnsi="Cambria Math"/>
                <w:i/>
              </w:rPr>
            </m:ctrlPr>
          </m:sub>
          <m:sup>
            <m:r>
              <m:rPr/>
              <w:rPr>
                <w:rFonts w:ascii="Cambria Math"/>
              </w:rPr>
              <m:t>sℎare</m:t>
            </m:r>
            <m:ctrlPr>
              <w:rPr>
                <w:rFonts w:ascii="Cambria Math" w:hAnsi="Cambria Math"/>
                <w:i/>
              </w:rPr>
            </m:ctrlPr>
          </m:sup>
        </m:sSubSup>
        <m:r>
          <m:rPr/>
          <w:rPr>
            <w:rFonts w:ascii="Cambria Math"/>
          </w:rPr>
          <m:t>=</m:t>
        </m:r>
        <m:nary>
          <m:naryPr>
            <m:chr m:val="∑"/>
            <m:supHide m:val="1"/>
            <m:ctrlPr>
              <w:rPr>
                <w:rFonts w:ascii="Cambria Math" w:hAnsi="Cambria Math"/>
                <w:i/>
              </w:rPr>
            </m:ctrlPr>
          </m:naryPr>
          <m:sub>
            <m:r>
              <m:rPr/>
              <w:rPr>
                <w:rFonts w:ascii="Cambria Math"/>
              </w:rPr>
              <m:t>l=sℎare</m:t>
            </m:r>
            <m:ctrlPr>
              <w:rPr>
                <w:rFonts w:ascii="Cambria Math" w:hAnsi="Cambria Math"/>
                <w:i/>
              </w:rPr>
            </m:ctrlPr>
          </m:sub>
          <m:sup>
            <m:ctrlPr>
              <w:rPr>
                <w:rFonts w:ascii="Cambria Math" w:hAnsi="Cambria Math"/>
                <w:i/>
              </w:rPr>
            </m:ctrlP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w:rPr>
                            <w:rFonts w:ascii="Cambria Math"/>
                          </w:rPr>
                          <m:t>α</m:t>
                        </m:r>
                        <m:ctrlPr>
                          <w:rPr>
                            <w:rFonts w:ascii="Cambria Math" w:hAnsi="Cambria Math"/>
                            <w:i/>
                          </w:rPr>
                        </m:ctrlPr>
                      </m:e>
                      <m:sub>
                        <m:r>
                          <m:rPr/>
                          <w:rPr>
                            <w:rFonts w:ascii="Cambria Math"/>
                          </w:rPr>
                          <m:t>c,l</m:t>
                        </m:r>
                        <m:ctrlPr>
                          <w:rPr>
                            <w:rFonts w:ascii="Cambria Math" w:hAnsi="Cambria Math"/>
                            <w:i/>
                          </w:rPr>
                        </m:ctrlPr>
                      </m:sub>
                    </m:sSub>
                    <m:ctrlPr>
                      <w:rPr>
                        <w:rFonts w:ascii="Cambria Math" w:hAnsi="Cambria Math"/>
                        <w:i/>
                      </w:rPr>
                    </m:ctrlPr>
                  </m:e>
                </m:d>
                <m:ctrlPr>
                  <w:rPr>
                    <w:rFonts w:ascii="Cambria Math" w:hAnsi="Cambria Math"/>
                    <w:i/>
                  </w:rPr>
                </m:ctrlPr>
              </m:e>
              <m:sup>
                <m:r>
                  <m:rPr/>
                  <w:rPr>
                    <w:rFonts w:ascii="Cambria Math"/>
                  </w:rPr>
                  <m:t>2</m:t>
                </m:r>
                <m:ctrlPr>
                  <w:rPr>
                    <w:rFonts w:ascii="Cambria Math" w:hAnsi="Cambria Math"/>
                    <w:i/>
                  </w:rPr>
                </m:ctrlPr>
              </m:sup>
            </m:sSup>
            <m:ctrlPr>
              <w:rPr>
                <w:rFonts w:ascii="Cambria Math" w:hAnsi="Cambria Math"/>
                <w:i/>
              </w:rPr>
            </m:ctrlPr>
          </m:e>
        </m:nary>
      </m:oMath>
      <w:r>
        <w:rPr>
          <w:rFonts w:hint="eastAsia"/>
        </w:rPr>
        <w:t xml:space="preserve"> represent the shared power of the sensing channel and communication channel, respectively. Then, </w:t>
      </w:r>
      <m:oMath>
        <m:sSub>
          <m:sSubPr>
            <m:ctrlPr>
              <w:rPr>
                <w:rFonts w:ascii="Cambria Math" w:hAnsi="Cambria Math"/>
                <w:i/>
              </w:rPr>
            </m:ctrlPr>
          </m:sSubPr>
          <m:e>
            <m:r>
              <m:rPr/>
              <w:rPr>
                <w:rFonts w:ascii="Cambria Math"/>
              </w:rPr>
              <m:t>P</m:t>
            </m:r>
            <m:ctrlPr>
              <w:rPr>
                <w:rFonts w:ascii="Cambria Math" w:hAnsi="Cambria Math"/>
                <w:i/>
              </w:rPr>
            </m:ctrlPr>
          </m:e>
          <m:sub>
            <m:r>
              <m:rPr/>
              <w:rPr>
                <w:rFonts w:ascii="Cambria Math"/>
              </w:rPr>
              <m:t>s</m:t>
            </m:r>
            <m:ctrlPr>
              <w:rPr>
                <w:rFonts w:ascii="Cambria Math" w:hAnsi="Cambria Math"/>
                <w:i/>
              </w:rPr>
            </m:ctrlPr>
          </m:sub>
        </m:sSub>
        <m:r>
          <m:rPr/>
          <w:rPr>
            <w:rFonts w:ascii="Cambria Math"/>
          </w:rPr>
          <m:t>=</m:t>
        </m:r>
        <m:nary>
          <m:naryPr>
            <m:chr m:val="∑"/>
            <m:ctrlPr>
              <w:rPr>
                <w:rFonts w:ascii="Cambria Math" w:hAnsi="Cambria Math"/>
                <w:i/>
              </w:rPr>
            </m:ctrlPr>
          </m:naryPr>
          <m:sub>
            <m:r>
              <m:rPr/>
              <w:rPr>
                <w:rFonts w:ascii="Cambria Math"/>
              </w:rPr>
              <m:t>l=1</m:t>
            </m:r>
            <m:ctrlPr>
              <w:rPr>
                <w:rFonts w:ascii="Cambria Math" w:hAnsi="Cambria Math"/>
                <w:i/>
              </w:rPr>
            </m:ctrlPr>
          </m:sub>
          <m:sup>
            <m:sSub>
              <m:sSubPr>
                <m:ctrlPr>
                  <w:rPr>
                    <w:rFonts w:ascii="Cambria Math" w:hAnsi="Cambria Math"/>
                    <w:i/>
                  </w:rPr>
                </m:ctrlPr>
              </m:sSubPr>
              <m:e>
                <m:r>
                  <m:rPr/>
                  <w:rPr>
                    <w:rFonts w:ascii="Cambria Math"/>
                  </w:rPr>
                  <m:t>L</m:t>
                </m:r>
                <m:ctrlPr>
                  <w:rPr>
                    <w:rFonts w:ascii="Cambria Math" w:hAnsi="Cambria Math"/>
                    <w:i/>
                  </w:rPr>
                </m:ctrlPr>
              </m:e>
              <m:sub>
                <m:r>
                  <m:rPr/>
                  <w:rPr>
                    <w:rFonts w:ascii="Cambria Math"/>
                  </w:rPr>
                  <m:t>s</m:t>
                </m:r>
                <m:ctrlPr>
                  <w:rPr>
                    <w:rFonts w:ascii="Cambria Math" w:hAnsi="Cambria Math"/>
                    <w:i/>
                  </w:rPr>
                </m:ctrlPr>
              </m:sub>
            </m:sSub>
            <m:ctrlPr>
              <w:rPr>
                <w:rFonts w:ascii="Cambria Math" w:hAnsi="Cambria Math"/>
                <w:i/>
              </w:rPr>
            </m:ctrlP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w:rPr>
                            <w:rFonts w:ascii="Cambria Math"/>
                          </w:rPr>
                          <m:t>α</m:t>
                        </m:r>
                        <m:ctrlPr>
                          <w:rPr>
                            <w:rFonts w:ascii="Cambria Math" w:hAnsi="Cambria Math"/>
                            <w:i/>
                          </w:rPr>
                        </m:ctrlPr>
                      </m:e>
                      <m:sub>
                        <m:r>
                          <m:rPr/>
                          <w:rPr>
                            <w:rFonts w:ascii="Cambria Math"/>
                          </w:rPr>
                          <m:t>s,l</m:t>
                        </m:r>
                        <m:ctrlPr>
                          <w:rPr>
                            <w:rFonts w:ascii="Cambria Math" w:hAnsi="Cambria Math"/>
                            <w:i/>
                          </w:rPr>
                        </m:ctrlPr>
                      </m:sub>
                    </m:sSub>
                    <m:ctrlPr>
                      <w:rPr>
                        <w:rFonts w:ascii="Cambria Math" w:hAnsi="Cambria Math"/>
                        <w:i/>
                      </w:rPr>
                    </m:ctrlPr>
                  </m:e>
                </m:d>
                <m:ctrlPr>
                  <w:rPr>
                    <w:rFonts w:ascii="Cambria Math" w:hAnsi="Cambria Math"/>
                    <w:i/>
                  </w:rPr>
                </m:ctrlPr>
              </m:e>
              <m:sup>
                <m:r>
                  <m:rPr/>
                  <w:rPr>
                    <w:rFonts w:ascii="Cambria Math"/>
                  </w:rPr>
                  <m:t>2</m:t>
                </m:r>
                <m:ctrlPr>
                  <w:rPr>
                    <w:rFonts w:ascii="Cambria Math" w:hAnsi="Cambria Math"/>
                    <w:i/>
                  </w:rPr>
                </m:ctrlPr>
              </m:sup>
            </m:sSup>
            <m:ctrlPr>
              <w:rPr>
                <w:rFonts w:ascii="Cambria Math" w:hAnsi="Cambria Math"/>
                <w:i/>
              </w:rPr>
            </m:ctrlPr>
          </m:e>
        </m:nary>
      </m:oMath>
      <w:r>
        <w:rPr>
          <w:rFonts w:hint="eastAsia"/>
        </w:rPr>
        <w:t>and</w:t>
      </w:r>
      <m:oMath>
        <m:sSub>
          <m:sSubPr>
            <m:ctrlPr>
              <w:rPr>
                <w:rFonts w:ascii="Cambria Math" w:hAnsi="Cambria Math"/>
                <w:i/>
              </w:rPr>
            </m:ctrlPr>
          </m:sSubPr>
          <m:e>
            <m:r>
              <m:rPr/>
              <w:rPr>
                <w:rFonts w:ascii="Cambria Math"/>
              </w:rPr>
              <m:t>P</m:t>
            </m:r>
            <m:ctrlPr>
              <w:rPr>
                <w:rFonts w:ascii="Cambria Math" w:hAnsi="Cambria Math"/>
                <w:i/>
              </w:rPr>
            </m:ctrlPr>
          </m:e>
          <m:sub>
            <m:r>
              <m:rPr/>
              <w:rPr>
                <w:rFonts w:ascii="Cambria Math"/>
              </w:rPr>
              <m:t>c</m:t>
            </m:r>
            <m:ctrlPr>
              <w:rPr>
                <w:rFonts w:ascii="Cambria Math" w:hAnsi="Cambria Math"/>
                <w:i/>
              </w:rPr>
            </m:ctrlPr>
          </m:sub>
        </m:sSub>
        <m:r>
          <m:rPr/>
          <w:rPr>
            <w:rFonts w:ascii="Cambria Math"/>
          </w:rPr>
          <m:t>=</m:t>
        </m:r>
        <m:nary>
          <m:naryPr>
            <m:chr m:val="∑"/>
            <m:ctrlPr>
              <w:rPr>
                <w:rFonts w:ascii="Cambria Math" w:hAnsi="Cambria Math"/>
                <w:i/>
              </w:rPr>
            </m:ctrlPr>
          </m:naryPr>
          <m:sub>
            <m:r>
              <m:rPr/>
              <w:rPr>
                <w:rFonts w:ascii="Cambria Math"/>
              </w:rPr>
              <m:t>l=1</m:t>
            </m:r>
            <m:ctrlPr>
              <w:rPr>
                <w:rFonts w:ascii="Cambria Math" w:hAnsi="Cambria Math"/>
                <w:i/>
              </w:rPr>
            </m:ctrlPr>
          </m:sub>
          <m:sup>
            <m:sSub>
              <m:sSubPr>
                <m:ctrlPr>
                  <w:rPr>
                    <w:rFonts w:ascii="Cambria Math" w:hAnsi="Cambria Math"/>
                    <w:i/>
                  </w:rPr>
                </m:ctrlPr>
              </m:sSubPr>
              <m:e>
                <m:r>
                  <m:rPr/>
                  <w:rPr>
                    <w:rFonts w:ascii="Cambria Math"/>
                  </w:rPr>
                  <m:t>L</m:t>
                </m:r>
                <m:ctrlPr>
                  <w:rPr>
                    <w:rFonts w:ascii="Cambria Math" w:hAnsi="Cambria Math"/>
                    <w:i/>
                  </w:rPr>
                </m:ctrlPr>
              </m:e>
              <m:sub>
                <m:r>
                  <m:rPr/>
                  <w:rPr>
                    <w:rFonts w:ascii="Cambria Math"/>
                  </w:rPr>
                  <m:t>c</m:t>
                </m:r>
                <m:ctrlPr>
                  <w:rPr>
                    <w:rFonts w:ascii="Cambria Math" w:hAnsi="Cambria Math"/>
                    <w:i/>
                  </w:rPr>
                </m:ctrlPr>
              </m:sub>
            </m:sSub>
            <m:ctrlPr>
              <w:rPr>
                <w:rFonts w:ascii="Cambria Math" w:hAnsi="Cambria Math"/>
                <w:i/>
              </w:rPr>
            </m:ctrlP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w:rPr>
                            <w:rFonts w:ascii="Cambria Math"/>
                          </w:rPr>
                          <m:t>α</m:t>
                        </m:r>
                        <m:ctrlPr>
                          <w:rPr>
                            <w:rFonts w:ascii="Cambria Math" w:hAnsi="Cambria Math"/>
                            <w:i/>
                          </w:rPr>
                        </m:ctrlPr>
                      </m:e>
                      <m:sub>
                        <m:r>
                          <m:rPr/>
                          <w:rPr>
                            <w:rFonts w:ascii="Cambria Math"/>
                          </w:rPr>
                          <m:t>c,l</m:t>
                        </m:r>
                        <m:ctrlPr>
                          <w:rPr>
                            <w:rFonts w:ascii="Cambria Math" w:hAnsi="Cambria Math"/>
                            <w:i/>
                          </w:rPr>
                        </m:ctrlPr>
                      </m:sub>
                    </m:sSub>
                    <m:ctrlPr>
                      <w:rPr>
                        <w:rFonts w:ascii="Cambria Math" w:hAnsi="Cambria Math"/>
                        <w:i/>
                      </w:rPr>
                    </m:ctrlPr>
                  </m:e>
                </m:d>
                <m:ctrlPr>
                  <w:rPr>
                    <w:rFonts w:ascii="Cambria Math" w:hAnsi="Cambria Math"/>
                    <w:i/>
                  </w:rPr>
                </m:ctrlPr>
              </m:e>
              <m:sup>
                <m:r>
                  <m:rPr/>
                  <w:rPr>
                    <w:rFonts w:ascii="Cambria Math"/>
                  </w:rPr>
                  <m:t>2</m:t>
                </m:r>
                <m:ctrlPr>
                  <w:rPr>
                    <w:rFonts w:ascii="Cambria Math" w:hAnsi="Cambria Math"/>
                    <w:i/>
                  </w:rPr>
                </m:ctrlPr>
              </m:sup>
            </m:sSup>
            <m:ctrlPr>
              <w:rPr>
                <w:rFonts w:ascii="Cambria Math" w:hAnsi="Cambria Math"/>
                <w:i/>
              </w:rPr>
            </m:ctrlPr>
          </m:e>
        </m:nary>
      </m:oMath>
      <w:r>
        <w:rPr>
          <w:rFonts w:hint="eastAsia"/>
        </w:rPr>
        <w:t xml:space="preserve"> are total power of the sensing channel and </w:t>
      </w:r>
      <w:r>
        <w:t xml:space="preserve">the </w:t>
      </w:r>
      <w:r>
        <w:rPr>
          <w:rFonts w:hint="eastAsia"/>
        </w:rPr>
        <w:t xml:space="preserve">communication channel, respectively. </w:t>
      </w:r>
    </w:p>
    <w:p w14:paraId="3FA54300">
      <w:pPr>
        <w:jc w:val="center"/>
      </w:pPr>
    </w:p>
    <w:p w14:paraId="0D4F185C">
      <w:pPr>
        <w:jc w:val="center"/>
      </w:pPr>
      <w:r>
        <w:drawing>
          <wp:inline distT="0" distB="0" distL="0" distR="0">
            <wp:extent cx="1976120" cy="1688465"/>
            <wp:effectExtent l="0" t="0" r="5080" b="698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7"/>
                    <a:stretch>
                      <a:fillRect/>
                    </a:stretch>
                  </pic:blipFill>
                  <pic:spPr>
                    <a:xfrm>
                      <a:off x="0" y="0"/>
                      <a:ext cx="1990627" cy="1701117"/>
                    </a:xfrm>
                    <a:prstGeom prst="rect">
                      <a:avLst/>
                    </a:prstGeom>
                  </pic:spPr>
                </pic:pic>
              </a:graphicData>
            </a:graphic>
          </wp:inline>
        </w:drawing>
      </w:r>
    </w:p>
    <w:p w14:paraId="6161A975">
      <w:pPr>
        <w:jc w:val="center"/>
      </w:pPr>
      <w:r>
        <w:t>Fig. 3. The CDFs of shared cluster power ratio between sensing and communication channels.</w:t>
      </w:r>
    </w:p>
    <w:p w14:paraId="6204E7B1">
      <w:pPr>
        <w:jc w:val="both"/>
      </w:pPr>
    </w:p>
    <w:p w14:paraId="3F4F5BC3">
      <w:pPr>
        <w:ind w:firstLine="480" w:firstLineChars="200"/>
        <w:jc w:val="both"/>
        <w:rPr>
          <w:rFonts w:eastAsia="等线"/>
          <w:sz w:val="21"/>
          <w:szCs w:val="21"/>
        </w:rPr>
      </w:pPr>
      <w:r>
        <w:rPr>
          <w:rFonts w:hint="eastAsia"/>
        </w:rPr>
        <w:t>As can be seen, the proportion of shared clusters in the sensing channel is relatively high (with an average of over 0.5), indicating that most of the perceived clusters in the sensing channel can serve as shared clusters in the communication channel. For the communication channel, the shared cluster power ratio in LoS scenario is higher than that in NLoS scenario, indicating that sensing has a more significant effect on communication in the LoS scenario.</w:t>
      </w:r>
    </w:p>
    <w:p w14:paraId="17897258">
      <w:pPr>
        <w:jc w:val="both"/>
      </w:pPr>
    </w:p>
    <w:p w14:paraId="1B775F58">
      <w:pPr>
        <w:jc w:val="both"/>
        <w:rPr>
          <w:i/>
          <w:iCs/>
        </w:rPr>
      </w:pPr>
      <w:r>
        <w:rPr>
          <w:rFonts w:hint="eastAsia"/>
          <w:b/>
          <w:bCs/>
          <w:i/>
          <w:iCs/>
          <w:u w:val="single"/>
        </w:rPr>
        <w:t>Observation 1</w:t>
      </w:r>
      <w:r>
        <w:rPr>
          <w:rFonts w:hint="eastAsia"/>
          <w:b/>
          <w:bCs/>
          <w:i/>
          <w:iCs/>
        </w:rPr>
        <w:t>:</w:t>
      </w:r>
      <w:r>
        <w:rPr>
          <w:rFonts w:hint="eastAsia"/>
          <w:i/>
          <w:iCs/>
        </w:rPr>
        <w:t xml:space="preserve"> </w:t>
      </w:r>
      <w:r>
        <w:rPr>
          <w:i/>
          <w:iCs/>
        </w:rPr>
        <w:t>Most of the perceived clusters in the sensing channel can serve as shared clusters in the communication channel.</w:t>
      </w:r>
    </w:p>
    <w:p w14:paraId="636EA98B">
      <w:pPr>
        <w:jc w:val="both"/>
      </w:pPr>
    </w:p>
    <w:p w14:paraId="3C462564">
      <w:pPr>
        <w:pStyle w:val="10"/>
        <w:numPr>
          <w:numId w:val="0"/>
        </w:numPr>
        <w:jc w:val="both"/>
      </w:pPr>
      <w:r>
        <w:rPr>
          <w:rFonts w:hint="default"/>
          <w:lang w:val="en-US"/>
        </w:rPr>
        <w:t xml:space="preserve">2.2.2 </w:t>
      </w:r>
      <w:r>
        <w:t>Angle similarity</w:t>
      </w:r>
      <w:r>
        <w:rPr>
          <w:rFonts w:hint="eastAsia"/>
        </w:rPr>
        <w:t xml:space="preserve"> </w:t>
      </w:r>
    </w:p>
    <w:p w14:paraId="0F7D5E5E">
      <w:pPr>
        <w:ind w:firstLine="480" w:firstLineChars="200"/>
        <w:jc w:val="both"/>
        <w:rPr>
          <w:rFonts w:eastAsia="等线"/>
          <w:sz w:val="21"/>
          <w:szCs w:val="21"/>
        </w:rPr>
      </w:pPr>
      <w:r>
        <w:rPr>
          <w:rFonts w:hint="eastAsia"/>
        </w:rPr>
        <w:t xml:space="preserve">Angle similarity is used to evaluate the degree of similarity between the sensing channel and </w:t>
      </w:r>
      <w:r>
        <w:t xml:space="preserve">the </w:t>
      </w:r>
      <w:r>
        <w:rPr>
          <w:rFonts w:hint="eastAsia"/>
        </w:rPr>
        <w:t>communication channel in the angle domain. Because the SRX and CRX are not located in the same position, we only evaluate the angle similarity between the department angles in azimuth and elevation directions. We numerically calculate the angle similarity based on the Bartlett spectrum as</w:t>
      </w:r>
    </w:p>
    <w:p w14:paraId="633C5FC6">
      <w:pPr>
        <w:pStyle w:val="13"/>
      </w:pPr>
      <w:r>
        <w:tab/>
      </w:r>
      <m:oMath>
        <m:r>
          <m:rPr/>
          <w:rPr>
            <w:rFonts w:ascii="Cambria Math"/>
          </w:rPr>
          <m:t>χ</m:t>
        </m:r>
        <m:d>
          <m:dPr>
            <m:ctrlPr>
              <w:rPr>
                <w:rFonts w:ascii="Cambria Math" w:hAnsi="Cambria Math"/>
                <w:i/>
              </w:rPr>
            </m:ctrlPr>
          </m:dPr>
          <m:e>
            <m:r>
              <m:rPr/>
              <w:rPr>
                <w:rFonts w:ascii="Cambria Math"/>
              </w:rPr>
              <m:t>α</m:t>
            </m:r>
            <m:ctrlPr>
              <w:rPr>
                <w:rFonts w:ascii="Cambria Math" w:hAnsi="Cambria Math"/>
                <w:i/>
              </w:rPr>
            </m:ctrlPr>
          </m:e>
        </m:d>
        <m:r>
          <m:rPr/>
          <w:rPr>
            <w:rFonts w:ascii="Cambria Math"/>
          </w:rPr>
          <m:t>=</m:t>
        </m:r>
        <m:f>
          <m:fPr>
            <m:ctrlPr>
              <w:rPr>
                <w:rFonts w:ascii="Cambria Math" w:hAnsi="Cambria Math"/>
                <w:i/>
              </w:rPr>
            </m:ctrlPr>
          </m:fPr>
          <m:num>
            <m:nary>
              <m:naryPr>
                <m:subHide m:val="1"/>
                <m:supHide m:val="1"/>
                <m:ctrlPr>
                  <w:rPr>
                    <w:rFonts w:ascii="Cambria Math" w:hAnsi="Cambria Math"/>
                    <w:i/>
                  </w:rPr>
                </m:ctrlPr>
              </m:naryPr>
              <m:sub>
                <m:ctrlPr>
                  <w:rPr>
                    <w:rFonts w:ascii="Cambria Math" w:hAnsi="Cambria Math"/>
                    <w:i/>
                  </w:rPr>
                </m:ctrlPr>
              </m:sub>
              <m:sup>
                <m:ctrlPr>
                  <w:rPr>
                    <w:rFonts w:ascii="Cambria Math" w:hAnsi="Cambria Math"/>
                    <w:i/>
                  </w:rPr>
                </m:ctrlPr>
              </m:sup>
              <m:e>
                <m:sSub>
                  <m:sSubPr>
                    <m:ctrlPr>
                      <w:rPr>
                        <w:rFonts w:ascii="Cambria Math" w:hAnsi="Cambria Math"/>
                        <w:i/>
                      </w:rPr>
                    </m:ctrlPr>
                  </m:sSubPr>
                  <m:e>
                    <m:r>
                      <m:rPr/>
                      <w:rPr>
                        <w:rFonts w:ascii="Cambria Math"/>
                      </w:rPr>
                      <m:t>G</m:t>
                    </m:r>
                    <m:ctrlPr>
                      <w:rPr>
                        <w:rFonts w:ascii="Cambria Math" w:hAnsi="Cambria Math"/>
                        <w:i/>
                      </w:rPr>
                    </m:ctrlPr>
                  </m:e>
                  <m:sub>
                    <m:r>
                      <m:rPr/>
                      <w:rPr>
                        <w:rFonts w:ascii="Cambria Math"/>
                      </w:rPr>
                      <m:t>s</m:t>
                    </m:r>
                    <m:ctrlPr>
                      <w:rPr>
                        <w:rFonts w:ascii="Cambria Math" w:hAnsi="Cambria Math"/>
                        <w:i/>
                      </w:rPr>
                    </m:ctrlPr>
                  </m:sub>
                </m:sSub>
                <m:d>
                  <m:dPr>
                    <m:ctrlPr>
                      <w:rPr>
                        <w:rFonts w:ascii="Cambria Math" w:hAnsi="Cambria Math"/>
                        <w:i/>
                      </w:rPr>
                    </m:ctrlPr>
                  </m:dPr>
                  <m:e>
                    <m:r>
                      <m:rPr/>
                      <w:rPr>
                        <w:rFonts w:ascii="Cambria Math"/>
                      </w:rPr>
                      <m:t>α</m:t>
                    </m:r>
                    <m:ctrlPr>
                      <w:rPr>
                        <w:rFonts w:ascii="Cambria Math" w:hAnsi="Cambria Math"/>
                        <w:i/>
                      </w:rPr>
                    </m:ctrlPr>
                  </m:e>
                </m:d>
                <m:r>
                  <m:rPr/>
                  <w:rPr>
                    <w:rFonts w:hint="eastAsia" w:ascii="MS Gothic" w:hAnsi="MS Gothic" w:eastAsia="MS Gothic" w:cs="MS Gothic"/>
                  </w:rPr>
                  <m:t>⋅</m:t>
                </m:r>
                <m:sSub>
                  <m:sSubPr>
                    <m:ctrlPr>
                      <w:rPr>
                        <w:rFonts w:ascii="Cambria Math" w:hAnsi="Cambria Math"/>
                        <w:i/>
                      </w:rPr>
                    </m:ctrlPr>
                  </m:sSubPr>
                  <m:e>
                    <m:r>
                      <m:rPr/>
                      <w:rPr>
                        <w:rFonts w:ascii="Cambria Math"/>
                      </w:rPr>
                      <m:t>G</m:t>
                    </m:r>
                    <m:ctrlPr>
                      <w:rPr>
                        <w:rFonts w:ascii="Cambria Math" w:hAnsi="Cambria Math"/>
                        <w:i/>
                      </w:rPr>
                    </m:ctrlPr>
                  </m:e>
                  <m:sub>
                    <m:r>
                      <m:rPr/>
                      <w:rPr>
                        <w:rFonts w:ascii="Cambria Math"/>
                      </w:rPr>
                      <m:t>c</m:t>
                    </m:r>
                    <m:ctrlPr>
                      <w:rPr>
                        <w:rFonts w:ascii="Cambria Math" w:hAnsi="Cambria Math"/>
                        <w:i/>
                      </w:rPr>
                    </m:ctrlPr>
                  </m:sub>
                </m:sSub>
                <m:d>
                  <m:dPr>
                    <m:ctrlPr>
                      <w:rPr>
                        <w:rFonts w:ascii="Cambria Math" w:hAnsi="Cambria Math"/>
                        <w:i/>
                      </w:rPr>
                    </m:ctrlPr>
                  </m:dPr>
                  <m:e>
                    <m:r>
                      <m:rPr/>
                      <w:rPr>
                        <w:rFonts w:ascii="Cambria Math"/>
                      </w:rPr>
                      <m:t>α</m:t>
                    </m:r>
                    <m:ctrlPr>
                      <w:rPr>
                        <w:rFonts w:ascii="Cambria Math" w:hAnsi="Cambria Math"/>
                        <w:i/>
                      </w:rPr>
                    </m:ctrlPr>
                  </m:e>
                </m:d>
                <m:r>
                  <m:rPr/>
                  <w:rPr>
                    <w:rFonts w:ascii="Cambria Math"/>
                  </w:rPr>
                  <m:t>dα</m:t>
                </m:r>
                <m:ctrlPr>
                  <w:rPr>
                    <w:rFonts w:ascii="Cambria Math" w:hAnsi="Cambria Math"/>
                    <w:i/>
                  </w:rPr>
                </m:ctrlPr>
              </m:e>
            </m:nary>
            <m:ctrlPr>
              <w:rPr>
                <w:rFonts w:ascii="Cambria Math" w:hAnsi="Cambria Math"/>
                <w:i/>
              </w:rPr>
            </m:ctrlPr>
          </m:num>
          <m:den>
            <m:rad>
              <m:radPr>
                <m:degHide m:val="1"/>
                <m:ctrlPr>
                  <w:rPr>
                    <w:rFonts w:ascii="Cambria Math" w:hAnsi="Cambria Math"/>
                    <w:i/>
                  </w:rPr>
                </m:ctrlPr>
              </m:radPr>
              <m:deg>
                <m:ctrlPr>
                  <w:rPr>
                    <w:rFonts w:ascii="Cambria Math" w:hAnsi="Cambria Math"/>
                    <w:i/>
                  </w:rPr>
                </m:ctrlPr>
              </m:deg>
              <m:e>
                <m:nary>
                  <m:naryPr>
                    <m:subHide m:val="1"/>
                    <m:supHide m:val="1"/>
                    <m:ctrlPr>
                      <w:rPr>
                        <w:rFonts w:ascii="Cambria Math" w:hAnsi="Cambria Math"/>
                        <w:i/>
                      </w:rPr>
                    </m:ctrlPr>
                  </m:naryPr>
                  <m:sub>
                    <m:ctrlPr>
                      <w:rPr>
                        <w:rFonts w:ascii="Cambria Math" w:hAnsi="Cambria Math"/>
                        <w:i/>
                      </w:rPr>
                    </m:ctrlPr>
                  </m:sub>
                  <m:sup>
                    <m:ctrlPr>
                      <w:rPr>
                        <w:rFonts w:ascii="Cambria Math" w:hAnsi="Cambria Math"/>
                        <w:i/>
                      </w:rPr>
                    </m:ctrlPr>
                  </m:sup>
                  <m:e>
                    <m:sSubSup>
                      <m:sSubSupPr>
                        <m:ctrlPr>
                          <w:rPr>
                            <w:rFonts w:ascii="Cambria Math" w:hAnsi="Cambria Math"/>
                            <w:i/>
                          </w:rPr>
                        </m:ctrlPr>
                      </m:sSubSupPr>
                      <m:e>
                        <m:r>
                          <m:rPr/>
                          <w:rPr>
                            <w:rFonts w:ascii="Cambria Math"/>
                          </w:rPr>
                          <m:t>G</m:t>
                        </m:r>
                        <m:ctrlPr>
                          <w:rPr>
                            <w:rFonts w:ascii="Cambria Math" w:hAnsi="Cambria Math"/>
                            <w:i/>
                          </w:rPr>
                        </m:ctrlPr>
                      </m:e>
                      <m:sub>
                        <m:r>
                          <m:rPr/>
                          <w:rPr>
                            <w:rFonts w:ascii="Cambria Math"/>
                          </w:rPr>
                          <m:t>s</m:t>
                        </m:r>
                        <m:ctrlPr>
                          <w:rPr>
                            <w:rFonts w:ascii="Cambria Math" w:hAnsi="Cambria Math"/>
                            <w:i/>
                          </w:rPr>
                        </m:ctrlPr>
                      </m:sub>
                      <m:sup>
                        <m:r>
                          <m:rPr/>
                          <w:rPr>
                            <w:rFonts w:ascii="Cambria Math"/>
                          </w:rPr>
                          <m:t>2</m:t>
                        </m:r>
                        <m:ctrlPr>
                          <w:rPr>
                            <w:rFonts w:ascii="Cambria Math" w:hAnsi="Cambria Math"/>
                            <w:i/>
                          </w:rPr>
                        </m:ctrlPr>
                      </m:sup>
                    </m:sSubSup>
                    <m:d>
                      <m:dPr>
                        <m:ctrlPr>
                          <w:rPr>
                            <w:rFonts w:ascii="Cambria Math" w:hAnsi="Cambria Math"/>
                            <w:i/>
                          </w:rPr>
                        </m:ctrlPr>
                      </m:dPr>
                      <m:e>
                        <m:r>
                          <m:rPr/>
                          <w:rPr>
                            <w:rFonts w:ascii="Cambria Math"/>
                          </w:rPr>
                          <m:t>α</m:t>
                        </m:r>
                        <m:ctrlPr>
                          <w:rPr>
                            <w:rFonts w:ascii="Cambria Math" w:hAnsi="Cambria Math"/>
                            <w:i/>
                          </w:rPr>
                        </m:ctrlPr>
                      </m:e>
                    </m:d>
                    <m:r>
                      <m:rPr/>
                      <w:rPr>
                        <w:rFonts w:ascii="Cambria Math"/>
                      </w:rPr>
                      <m:t>dα</m:t>
                    </m:r>
                    <m:ctrlPr>
                      <w:rPr>
                        <w:rFonts w:ascii="Cambria Math" w:hAnsi="Cambria Math"/>
                        <w:i/>
                      </w:rPr>
                    </m:ctrlPr>
                  </m:e>
                </m:nary>
                <m:ctrlPr>
                  <w:rPr>
                    <w:rFonts w:ascii="Cambria Math" w:hAnsi="Cambria Math"/>
                    <w:i/>
                  </w:rPr>
                </m:ctrlPr>
              </m:e>
            </m:rad>
            <m:r>
              <m:rPr/>
              <w:rPr>
                <w:rFonts w:hint="eastAsia" w:ascii="MS Gothic" w:hAnsi="MS Gothic" w:eastAsia="MS Gothic" w:cs="MS Gothic"/>
              </w:rPr>
              <m:t>⋅</m:t>
            </m:r>
            <m:rad>
              <m:radPr>
                <m:degHide m:val="1"/>
                <m:ctrlPr>
                  <w:rPr>
                    <w:rFonts w:ascii="Cambria Math" w:hAnsi="Cambria Math"/>
                    <w:i/>
                  </w:rPr>
                </m:ctrlPr>
              </m:radPr>
              <m:deg>
                <m:ctrlPr>
                  <w:rPr>
                    <w:rFonts w:ascii="Cambria Math" w:hAnsi="Cambria Math"/>
                    <w:i/>
                  </w:rPr>
                </m:ctrlPr>
              </m:deg>
              <m:e>
                <m:nary>
                  <m:naryPr>
                    <m:subHide m:val="1"/>
                    <m:supHide m:val="1"/>
                    <m:ctrlPr>
                      <w:rPr>
                        <w:rFonts w:ascii="Cambria Math" w:hAnsi="Cambria Math"/>
                        <w:i/>
                      </w:rPr>
                    </m:ctrlPr>
                  </m:naryPr>
                  <m:sub>
                    <m:ctrlPr>
                      <w:rPr>
                        <w:rFonts w:ascii="Cambria Math" w:hAnsi="Cambria Math"/>
                        <w:i/>
                      </w:rPr>
                    </m:ctrlPr>
                  </m:sub>
                  <m:sup>
                    <m:ctrlPr>
                      <w:rPr>
                        <w:rFonts w:ascii="Cambria Math" w:hAnsi="Cambria Math"/>
                        <w:i/>
                      </w:rPr>
                    </m:ctrlPr>
                  </m:sup>
                  <m:e>
                    <m:sSubSup>
                      <m:sSubSupPr>
                        <m:ctrlPr>
                          <w:rPr>
                            <w:rFonts w:ascii="Cambria Math" w:hAnsi="Cambria Math"/>
                            <w:i/>
                          </w:rPr>
                        </m:ctrlPr>
                      </m:sSubSupPr>
                      <m:e>
                        <m:r>
                          <m:rPr/>
                          <w:rPr>
                            <w:rFonts w:ascii="Cambria Math"/>
                          </w:rPr>
                          <m:t>G</m:t>
                        </m:r>
                        <m:ctrlPr>
                          <w:rPr>
                            <w:rFonts w:ascii="Cambria Math" w:hAnsi="Cambria Math"/>
                            <w:i/>
                          </w:rPr>
                        </m:ctrlPr>
                      </m:e>
                      <m:sub>
                        <m:r>
                          <m:rPr/>
                          <w:rPr>
                            <w:rFonts w:ascii="Cambria Math"/>
                          </w:rPr>
                          <m:t>c</m:t>
                        </m:r>
                        <m:ctrlPr>
                          <w:rPr>
                            <w:rFonts w:ascii="Cambria Math" w:hAnsi="Cambria Math"/>
                            <w:i/>
                          </w:rPr>
                        </m:ctrlPr>
                      </m:sub>
                      <m:sup>
                        <m:r>
                          <m:rPr/>
                          <w:rPr>
                            <w:rFonts w:ascii="Cambria Math"/>
                          </w:rPr>
                          <m:t>2</m:t>
                        </m:r>
                        <m:ctrlPr>
                          <w:rPr>
                            <w:rFonts w:ascii="Cambria Math" w:hAnsi="Cambria Math"/>
                            <w:i/>
                          </w:rPr>
                        </m:ctrlPr>
                      </m:sup>
                    </m:sSubSup>
                    <m:d>
                      <m:dPr>
                        <m:ctrlPr>
                          <w:rPr>
                            <w:rFonts w:ascii="Cambria Math" w:hAnsi="Cambria Math"/>
                            <w:i/>
                          </w:rPr>
                        </m:ctrlPr>
                      </m:dPr>
                      <m:e>
                        <m:r>
                          <m:rPr/>
                          <w:rPr>
                            <w:rFonts w:ascii="Cambria Math"/>
                          </w:rPr>
                          <m:t>α</m:t>
                        </m:r>
                        <m:ctrlPr>
                          <w:rPr>
                            <w:rFonts w:ascii="Cambria Math" w:hAnsi="Cambria Math"/>
                            <w:i/>
                          </w:rPr>
                        </m:ctrlPr>
                      </m:e>
                    </m:d>
                    <m:r>
                      <m:rPr/>
                      <w:rPr>
                        <w:rFonts w:ascii="Cambria Math"/>
                      </w:rPr>
                      <m:t>dα</m:t>
                    </m:r>
                    <m:ctrlPr>
                      <w:rPr>
                        <w:rFonts w:ascii="Cambria Math" w:hAnsi="Cambria Math"/>
                        <w:i/>
                      </w:rPr>
                    </m:ctrlPr>
                  </m:e>
                </m:nary>
                <m:ctrlPr>
                  <w:rPr>
                    <w:rFonts w:ascii="Cambria Math" w:hAnsi="Cambria Math"/>
                    <w:i/>
                  </w:rPr>
                </m:ctrlPr>
              </m:e>
            </m:rad>
            <m:ctrlPr>
              <w:rPr>
                <w:rFonts w:ascii="Cambria Math" w:hAnsi="Cambria Math"/>
                <w:i/>
              </w:rPr>
            </m:ctrlPr>
          </m:den>
        </m:f>
      </m:oMath>
      <w:r>
        <w:tab/>
      </w:r>
      <w:r>
        <w:fldChar w:fldCharType="begin"/>
      </w:r>
      <w:r>
        <w:instrText xml:space="preserve"> MACROBUTTON MTPlaceRef \* MERGEFORMAT </w:instrText>
      </w:r>
      <w:r>
        <w:fldChar w:fldCharType="begin"/>
      </w:r>
      <w:r>
        <w:instrText xml:space="preserve"> SEQ MTEqn \h \* MERGEFORMAT </w:instrText>
      </w:r>
      <w:r>
        <w:fldChar w:fldCharType="end"/>
      </w:r>
      <w:r>
        <w:instrText xml:space="preserve">(</w:instrText>
      </w:r>
      <w:r>
        <w:fldChar w:fldCharType="begin"/>
      </w:r>
      <w:r>
        <w:instrText xml:space="preserve"> SEQ MTSec \c \* Arabic \* MERGEFORMAT </w:instrText>
      </w:r>
      <w:r>
        <w:fldChar w:fldCharType="separate"/>
      </w:r>
      <w:r>
        <w:instrText xml:space="preserve">2</w:instrText>
      </w:r>
      <w:r>
        <w:fldChar w:fldCharType="end"/>
      </w:r>
      <w:r>
        <w:instrText xml:space="preserve">.</w:instrText>
      </w:r>
      <w:r>
        <w:fldChar w:fldCharType="begin"/>
      </w:r>
      <w:r>
        <w:instrText xml:space="preserve"> SEQ MTEqn \c \* Arabic \* MERGEFORMAT </w:instrText>
      </w:r>
      <w:r>
        <w:fldChar w:fldCharType="separate"/>
      </w:r>
      <w:r>
        <w:instrText xml:space="preserve">3</w:instrText>
      </w:r>
      <w:r>
        <w:fldChar w:fldCharType="end"/>
      </w:r>
      <w:r>
        <w:instrText xml:space="preserve">)</w:instrText>
      </w:r>
      <w:r>
        <w:fldChar w:fldCharType="end"/>
      </w:r>
    </w:p>
    <w:p w14:paraId="145DB6C1">
      <w:pPr>
        <w:jc w:val="both"/>
      </w:pPr>
      <w:r>
        <w:rPr>
          <w:rFonts w:hint="eastAsia"/>
        </w:rPr>
        <w:t xml:space="preserve">where </w:t>
      </w:r>
      <m:oMath>
        <m:sSub>
          <m:sSubPr>
            <m:ctrlPr>
              <w:rPr>
                <w:rFonts w:ascii="Cambria Math" w:hAnsi="Cambria Math"/>
                <w:i/>
              </w:rPr>
            </m:ctrlPr>
          </m:sSubPr>
          <m:e>
            <m:r>
              <m:rPr/>
              <w:rPr>
                <w:rFonts w:ascii="Cambria Math"/>
              </w:rPr>
              <m:t>G</m:t>
            </m:r>
            <m:ctrlPr>
              <w:rPr>
                <w:rFonts w:ascii="Cambria Math" w:hAnsi="Cambria Math"/>
                <w:i/>
              </w:rPr>
            </m:ctrlPr>
          </m:e>
          <m:sub>
            <m:r>
              <m:rPr/>
              <w:rPr>
                <w:rFonts w:ascii="Cambria Math"/>
              </w:rPr>
              <m:t>s</m:t>
            </m:r>
            <m:ctrlPr>
              <w:rPr>
                <w:rFonts w:ascii="Cambria Math" w:hAnsi="Cambria Math"/>
                <w:i/>
              </w:rPr>
            </m:ctrlPr>
          </m:sub>
        </m:sSub>
        <m:d>
          <m:dPr>
            <m:ctrlPr>
              <w:rPr>
                <w:rFonts w:ascii="Cambria Math" w:hAnsi="Cambria Math"/>
                <w:i/>
              </w:rPr>
            </m:ctrlPr>
          </m:dPr>
          <m:e>
            <m:r>
              <m:rPr/>
              <w:rPr>
                <w:rFonts w:ascii="Cambria Math"/>
              </w:rPr>
              <m:t>α</m:t>
            </m:r>
            <m:ctrlPr>
              <w:rPr>
                <w:rFonts w:ascii="Cambria Math" w:hAnsi="Cambria Math"/>
                <w:i/>
              </w:rPr>
            </m:ctrlPr>
          </m:e>
        </m:d>
      </m:oMath>
      <w:r>
        <w:rPr>
          <w:rFonts w:hint="eastAsia"/>
        </w:rPr>
        <w:t xml:space="preserve"> and </w:t>
      </w:r>
      <m:oMath>
        <m:sSub>
          <m:sSubPr>
            <m:ctrlPr>
              <w:rPr>
                <w:rFonts w:ascii="Cambria Math" w:hAnsi="Cambria Math"/>
                <w:i/>
              </w:rPr>
            </m:ctrlPr>
          </m:sSubPr>
          <m:e>
            <m:r>
              <m:rPr/>
              <w:rPr>
                <w:rFonts w:ascii="Cambria Math"/>
              </w:rPr>
              <m:t>G</m:t>
            </m:r>
            <m:ctrlPr>
              <w:rPr>
                <w:rFonts w:ascii="Cambria Math" w:hAnsi="Cambria Math"/>
                <w:i/>
              </w:rPr>
            </m:ctrlPr>
          </m:e>
          <m:sub>
            <m:r>
              <m:rPr/>
              <w:rPr>
                <w:rFonts w:ascii="Cambria Math"/>
              </w:rPr>
              <m:t>c</m:t>
            </m:r>
            <m:ctrlPr>
              <w:rPr>
                <w:rFonts w:ascii="Cambria Math" w:hAnsi="Cambria Math"/>
                <w:i/>
              </w:rPr>
            </m:ctrlPr>
          </m:sub>
        </m:sSub>
        <m:d>
          <m:dPr>
            <m:ctrlPr>
              <w:rPr>
                <w:rFonts w:ascii="Cambria Math" w:hAnsi="Cambria Math"/>
                <w:i/>
              </w:rPr>
            </m:ctrlPr>
          </m:dPr>
          <m:e>
            <m:r>
              <m:rPr/>
              <w:rPr>
                <w:rFonts w:ascii="Cambria Math"/>
              </w:rPr>
              <m:t>α</m:t>
            </m:r>
            <m:ctrlPr>
              <w:rPr>
                <w:rFonts w:ascii="Cambria Math" w:hAnsi="Cambria Math"/>
                <w:i/>
              </w:rPr>
            </m:ctrlPr>
          </m:e>
        </m:d>
      </m:oMath>
      <w:r>
        <w:rPr>
          <w:rFonts w:hint="eastAsia"/>
        </w:rPr>
        <w:t xml:space="preserve"> represent the Bartlett spectra, i.e., the angular power spectrum of the sensing and communication channels, respectively. When </w:t>
      </w:r>
      <m:oMath>
        <m:r>
          <m:rPr/>
          <w:rPr>
            <w:rFonts w:ascii="Cambria Math"/>
          </w:rPr>
          <m:t>α</m:t>
        </m:r>
      </m:oMath>
      <w:r>
        <w:rPr>
          <w:rFonts w:hint="eastAsia"/>
        </w:rPr>
        <w:t xml:space="preserve"> denotes the</w:t>
      </w:r>
      <w:r>
        <w:t xml:space="preserve"> </w:t>
      </w:r>
      <w:r>
        <w:rPr>
          <w:rFonts w:hint="eastAsia"/>
        </w:rPr>
        <w:t>azimuth</w:t>
      </w:r>
      <w:r>
        <w:t xml:space="preserve"> </w:t>
      </w:r>
      <w:r>
        <w:rPr>
          <w:rFonts w:hint="eastAsia"/>
        </w:rPr>
        <w:t>angle</w:t>
      </w:r>
      <w:r>
        <w:t xml:space="preserve"> </w:t>
      </w:r>
      <w:r>
        <w:rPr>
          <w:rFonts w:hint="eastAsia"/>
        </w:rPr>
        <w:t>of</w:t>
      </w:r>
      <w:r>
        <w:t xml:space="preserve"> </w:t>
      </w:r>
      <w:r>
        <w:rPr>
          <w:rFonts w:hint="eastAsia"/>
        </w:rPr>
        <w:t>departure</w:t>
      </w:r>
      <w:r>
        <w:t xml:space="preserve"> (</w:t>
      </w:r>
      <w:r>
        <w:rPr>
          <w:rFonts w:hint="eastAsia"/>
        </w:rPr>
        <w:t>AAoD</w:t>
      </w:r>
      <w:r>
        <w:t>)</w:t>
      </w:r>
      <w:r>
        <w:rPr>
          <w:rFonts w:hint="eastAsia"/>
        </w:rPr>
        <w:t xml:space="preserve"> </w:t>
      </w:r>
      <w:r>
        <w:t>or</w:t>
      </w:r>
      <w:r>
        <w:rPr>
          <w:rFonts w:hint="eastAsia"/>
        </w:rPr>
        <w:t xml:space="preserve"> </w:t>
      </w:r>
      <w:r>
        <w:t xml:space="preserve">elevation </w:t>
      </w:r>
      <w:r>
        <w:rPr>
          <w:rFonts w:hint="eastAsia"/>
        </w:rPr>
        <w:t>angle</w:t>
      </w:r>
      <w:r>
        <w:t xml:space="preserve"> </w:t>
      </w:r>
      <w:r>
        <w:rPr>
          <w:rFonts w:hint="eastAsia"/>
        </w:rPr>
        <w:t>of</w:t>
      </w:r>
      <w:r>
        <w:t xml:space="preserve"> </w:t>
      </w:r>
      <w:r>
        <w:rPr>
          <w:rFonts w:hint="eastAsia"/>
        </w:rPr>
        <w:t>departure</w:t>
      </w:r>
      <w:r>
        <w:t xml:space="preserve"> (</w:t>
      </w:r>
      <w:r>
        <w:rPr>
          <w:rFonts w:hint="eastAsia"/>
        </w:rPr>
        <w:t>EAoD</w:t>
      </w:r>
      <w:r>
        <w:t>)</w:t>
      </w:r>
      <w:r>
        <w:rPr>
          <w:rFonts w:hint="eastAsia"/>
        </w:rPr>
        <w:t>, the angle similarity in azimuth and elevation directions can be calculated.</w:t>
      </w:r>
    </w:p>
    <w:p w14:paraId="21465391">
      <w:pPr>
        <w:jc w:val="center"/>
      </w:pPr>
      <w:r>
        <w:drawing>
          <wp:inline distT="0" distB="0" distL="0" distR="0">
            <wp:extent cx="2090420" cy="1783080"/>
            <wp:effectExtent l="0" t="0" r="5080"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8"/>
                    <a:stretch>
                      <a:fillRect/>
                    </a:stretch>
                  </pic:blipFill>
                  <pic:spPr>
                    <a:xfrm>
                      <a:off x="0" y="0"/>
                      <a:ext cx="2100830" cy="1791750"/>
                    </a:xfrm>
                    <a:prstGeom prst="rect">
                      <a:avLst/>
                    </a:prstGeom>
                  </pic:spPr>
                </pic:pic>
              </a:graphicData>
            </a:graphic>
          </wp:inline>
        </w:drawing>
      </w:r>
    </w:p>
    <w:p w14:paraId="326D334A">
      <w:pPr>
        <w:jc w:val="center"/>
      </w:pPr>
      <w:r>
        <w:t>Fig. 4. Angle similarity between sensing and communication channels.</w:t>
      </w:r>
    </w:p>
    <w:p w14:paraId="56FC3217">
      <w:pPr>
        <w:ind w:firstLine="480" w:firstLineChars="200"/>
        <w:jc w:val="both"/>
        <w:rPr>
          <w:rFonts w:eastAsia="等线"/>
          <w:sz w:val="21"/>
          <w:szCs w:val="21"/>
        </w:rPr>
      </w:pPr>
      <w:r>
        <w:rPr>
          <w:rFonts w:hint="eastAsia"/>
        </w:rPr>
        <w:t>It can be observed that when the CDF value is the same, the angular similarity between the communication channel and the sensing channel in the azimuth direction is the highest. For the similarity analysis result of joint azimuth-elevation direction Bartlett spectra, the angle similarity of the sensing and communication channels is over 50%. These results indicate that sensing can detect shared clusters in the environment and assist in predicting communication channel departure angles to some extent by sensing channel departure angles.</w:t>
      </w:r>
    </w:p>
    <w:p w14:paraId="0FF8B635">
      <w:pPr>
        <w:jc w:val="both"/>
      </w:pPr>
    </w:p>
    <w:p w14:paraId="2BD94F00">
      <w:pPr>
        <w:jc w:val="both"/>
        <w:rPr>
          <w:i/>
          <w:iCs/>
        </w:rPr>
      </w:pPr>
      <w:r>
        <w:rPr>
          <w:rFonts w:hint="eastAsia"/>
          <w:b/>
          <w:bCs/>
          <w:i/>
          <w:iCs/>
          <w:u w:val="single"/>
        </w:rPr>
        <w:t xml:space="preserve">Observation </w:t>
      </w:r>
      <w:r>
        <w:rPr>
          <w:b/>
          <w:bCs/>
          <w:i/>
          <w:iCs/>
          <w:u w:val="single"/>
        </w:rPr>
        <w:t>2</w:t>
      </w:r>
      <w:r>
        <w:rPr>
          <w:rFonts w:hint="eastAsia"/>
          <w:b/>
          <w:bCs/>
          <w:i/>
          <w:iCs/>
        </w:rPr>
        <w:t>:</w:t>
      </w:r>
      <w:r>
        <w:rPr>
          <w:rFonts w:hint="eastAsia"/>
          <w:i/>
          <w:iCs/>
        </w:rPr>
        <w:t xml:space="preserve"> </w:t>
      </w:r>
      <w:r>
        <w:rPr>
          <w:i/>
          <w:iCs/>
        </w:rPr>
        <w:t>Sensing can detect shared clusters in the environment and assist in predicting communication channel departure angles to some extent.</w:t>
      </w:r>
    </w:p>
    <w:p w14:paraId="5E7439C6">
      <w:pPr>
        <w:jc w:val="both"/>
      </w:pPr>
    </w:p>
    <w:p w14:paraId="1A606DA1">
      <w:pPr>
        <w:spacing w:before="120" w:after="120"/>
        <w:jc w:val="both"/>
        <w:rPr>
          <w:rFonts w:hint="default" w:ascii="Times New Roman Italic" w:hAnsi="Times New Roman Italic" w:cs="Times New Roman Italic"/>
          <w:b w:val="0"/>
          <w:bCs/>
          <w:i/>
        </w:rPr>
      </w:pPr>
      <w:r>
        <w:rPr>
          <w:b/>
          <w:i/>
          <w:u w:val="single"/>
        </w:rPr>
        <w:t xml:space="preserve">Proposal </w:t>
      </w:r>
      <w:r>
        <w:rPr>
          <w:rFonts w:hint="eastAsia"/>
          <w:b/>
          <w:i/>
          <w:u w:val="single"/>
        </w:rPr>
        <w:t>1</w:t>
      </w:r>
      <w:r>
        <w:rPr>
          <w:b/>
          <w:i/>
        </w:rPr>
        <w:t xml:space="preserve">: </w:t>
      </w:r>
      <w:r>
        <w:rPr>
          <w:rFonts w:hint="default" w:ascii="Times New Roman Italic" w:hAnsi="Times New Roman Italic" w:cs="Times New Roman Italic"/>
          <w:b w:val="0"/>
          <w:bCs/>
          <w:i/>
        </w:rPr>
        <w:t>The monostatic sensing channel and communication channel (bi-static channel) have shared clusters and a certain similarity in departure angles, which needs to be considered in ISAC model.</w:t>
      </w:r>
    </w:p>
    <w:p w14:paraId="21CDE0AA">
      <w:pPr>
        <w:spacing w:before="120" w:after="120"/>
        <w:rPr>
          <w:b/>
          <w:i/>
        </w:rPr>
      </w:pPr>
    </w:p>
    <w:p w14:paraId="75D6037A">
      <w:pPr>
        <w:numPr>
          <w:numId w:val="0"/>
        </w:numPr>
        <w:jc w:val="both"/>
      </w:pPr>
      <w:r>
        <w:rPr>
          <w:rFonts w:hint="default"/>
          <w:lang w:val="en-US"/>
        </w:rPr>
        <w:t xml:space="preserve">2.2.3 </w:t>
      </w:r>
      <w:r>
        <w:t>Time autocorrelation function (TACF)</w:t>
      </w:r>
      <w:r>
        <w:rPr>
          <w:rFonts w:hint="eastAsia"/>
        </w:rPr>
        <w:t xml:space="preserve"> </w:t>
      </w:r>
    </w:p>
    <w:p w14:paraId="0997FEAD">
      <w:pPr>
        <w:ind w:firstLine="360" w:firstLineChars="150"/>
      </w:pPr>
      <w:r>
        <w:rPr>
          <w:rFonts w:hint="eastAsia"/>
        </w:rPr>
        <w:t xml:space="preserve">The TACF describes the correlation of </w:t>
      </w:r>
      <w:r>
        <w:t>channel impulse responses (</w:t>
      </w:r>
      <w:r>
        <w:rPr>
          <w:rFonts w:hint="eastAsia"/>
        </w:rPr>
        <w:t>CIRs</w:t>
      </w:r>
      <w:r>
        <w:t>)</w:t>
      </w:r>
      <w:r>
        <w:rPr>
          <w:rFonts w:hint="eastAsia"/>
        </w:rPr>
        <w:t xml:space="preserve"> at different time</w:t>
      </w:r>
      <w:r>
        <w:t xml:space="preserve"> instant</w:t>
      </w:r>
      <w:r>
        <w:rPr>
          <w:rFonts w:hint="eastAsia"/>
        </w:rPr>
        <w:t>s. The TACFs of sensing and communication channels can be calculated as</w:t>
      </w:r>
    </w:p>
    <w:p w14:paraId="2256ED92">
      <w:pPr>
        <w:pStyle w:val="13"/>
      </w:pPr>
      <w:r>
        <w:tab/>
      </w:r>
      <m:oMath>
        <m:sSubSup>
          <m:sSubSupPr>
            <m:ctrlPr>
              <w:rPr>
                <w:rFonts w:ascii="Cambria Math" w:hAnsi="Cambria Math"/>
                <w:i/>
              </w:rPr>
            </m:ctrlPr>
          </m:sSubSupPr>
          <m:e>
            <m:r>
              <m:rPr/>
              <w:rPr>
                <w:rFonts w:ascii="Cambria Math"/>
              </w:rPr>
              <m:t>R</m:t>
            </m:r>
            <m:ctrlPr>
              <w:rPr>
                <w:rFonts w:ascii="Cambria Math" w:hAnsi="Cambria Math"/>
                <w:i/>
              </w:rPr>
            </m:ctrlPr>
          </m:e>
          <m:sub>
            <m:sSub>
              <m:sSubPr>
                <m:ctrlPr>
                  <w:rPr>
                    <w:rFonts w:ascii="Cambria Math" w:hAnsi="Cambria Math"/>
                    <w:i/>
                  </w:rPr>
                </m:ctrlPr>
              </m:sSubPr>
              <m:e>
                <m:r>
                  <m:rPr/>
                  <w:rPr>
                    <w:rFonts w:ascii="Cambria Math"/>
                  </w:rPr>
                  <m:t>q</m:t>
                </m:r>
                <m:ctrlPr>
                  <w:rPr>
                    <w:rFonts w:ascii="Cambria Math" w:hAnsi="Cambria Math"/>
                    <w:i/>
                  </w:rPr>
                </m:ctrlPr>
              </m:e>
              <m:sub>
                <m:r>
                  <m:rPr/>
                  <w:rPr>
                    <w:rFonts w:ascii="Cambria Math"/>
                  </w:rPr>
                  <m:t>s</m:t>
                </m:r>
                <m:ctrlPr>
                  <w:rPr>
                    <w:rFonts w:ascii="Cambria Math" w:hAnsi="Cambria Math"/>
                    <w:i/>
                  </w:rPr>
                </m:ctrlPr>
              </m:sub>
            </m:sSub>
            <m:r>
              <m:rPr/>
              <w:rPr>
                <w:rFonts w:ascii="Cambria Math"/>
              </w:rPr>
              <m:t>,</m:t>
            </m:r>
            <m:sSub>
              <m:sSubPr>
                <m:ctrlPr>
                  <w:rPr>
                    <w:rFonts w:ascii="Cambria Math" w:hAnsi="Cambria Math"/>
                    <w:i/>
                  </w:rPr>
                </m:ctrlPr>
              </m:sSubPr>
              <m:e>
                <m:r>
                  <m:rPr/>
                  <w:rPr>
                    <w:rFonts w:ascii="Cambria Math"/>
                  </w:rPr>
                  <m:t>p</m:t>
                </m:r>
                <m:ctrlPr>
                  <w:rPr>
                    <w:rFonts w:ascii="Cambria Math" w:hAnsi="Cambria Math"/>
                    <w:i/>
                  </w:rPr>
                </m:ctrlPr>
              </m:e>
              <m:sub>
                <m:r>
                  <m:rPr/>
                  <w:rPr>
                    <w:rFonts w:ascii="Cambria Math"/>
                  </w:rPr>
                  <m:t>s</m:t>
                </m:r>
                <m:ctrlPr>
                  <w:rPr>
                    <w:rFonts w:ascii="Cambria Math" w:hAnsi="Cambria Math"/>
                    <w:i/>
                  </w:rPr>
                </m:ctrlPr>
              </m:sub>
            </m:sSub>
            <m:ctrlPr>
              <w:rPr>
                <w:rFonts w:ascii="Cambria Math" w:hAnsi="Cambria Math"/>
                <w:i/>
              </w:rPr>
            </m:ctrlPr>
          </m:sub>
          <m:sup>
            <m:r>
              <m:rPr/>
              <w:rPr>
                <w:rFonts w:ascii="Cambria Math"/>
              </w:rPr>
              <m:t>s</m:t>
            </m:r>
            <m:ctrlPr>
              <w:rPr>
                <w:rFonts w:ascii="Cambria Math" w:hAnsi="Cambria Math"/>
                <w:i/>
              </w:rPr>
            </m:ctrlPr>
          </m:sup>
        </m:sSubSup>
        <m:r>
          <m:rPr/>
          <w:rPr>
            <w:rFonts w:ascii="Cambria Math"/>
          </w:rPr>
          <m:t>=</m:t>
        </m:r>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m:rPr/>
                      <w:rPr>
                        <w:rFonts w:ascii="Cambria Math"/>
                      </w:rPr>
                      <m:t>ℎ</m:t>
                    </m:r>
                    <m:ctrlPr>
                      <w:rPr>
                        <w:rFonts w:ascii="Cambria Math" w:hAnsi="Cambria Math"/>
                        <w:i/>
                      </w:rPr>
                    </m:ctrlPr>
                  </m:e>
                  <m:sub>
                    <m:r>
                      <m:rPr/>
                      <w:rPr>
                        <w:rFonts w:ascii="Cambria Math"/>
                      </w:rPr>
                      <m:t>s,</m:t>
                    </m:r>
                    <m:sSub>
                      <m:sSubPr>
                        <m:ctrlPr>
                          <w:rPr>
                            <w:rFonts w:ascii="Cambria Math" w:hAnsi="Cambria Math"/>
                            <w:i/>
                          </w:rPr>
                        </m:ctrlPr>
                      </m:sSubPr>
                      <m:e>
                        <m:r>
                          <m:rPr/>
                          <w:rPr>
                            <w:rFonts w:ascii="Cambria Math"/>
                          </w:rPr>
                          <m:t>q</m:t>
                        </m:r>
                        <m:ctrlPr>
                          <w:rPr>
                            <w:rFonts w:ascii="Cambria Math" w:hAnsi="Cambria Math"/>
                            <w:i/>
                          </w:rPr>
                        </m:ctrlPr>
                      </m:e>
                      <m:sub>
                        <m:r>
                          <m:rPr/>
                          <w:rPr>
                            <w:rFonts w:ascii="Cambria Math"/>
                          </w:rPr>
                          <m:t>s</m:t>
                        </m:r>
                        <m:ctrlPr>
                          <w:rPr>
                            <w:rFonts w:ascii="Cambria Math" w:hAnsi="Cambria Math"/>
                            <w:i/>
                          </w:rPr>
                        </m:ctrlPr>
                      </m:sub>
                    </m:sSub>
                    <m:r>
                      <m:rPr/>
                      <w:rPr>
                        <w:rFonts w:ascii="Cambria Math"/>
                      </w:rPr>
                      <m:t>,</m:t>
                    </m:r>
                    <m:sSub>
                      <m:sSubPr>
                        <m:ctrlPr>
                          <w:rPr>
                            <w:rFonts w:ascii="Cambria Math" w:hAnsi="Cambria Math"/>
                            <w:i/>
                          </w:rPr>
                        </m:ctrlPr>
                      </m:sSubPr>
                      <m:e>
                        <m:r>
                          <m:rPr/>
                          <w:rPr>
                            <w:rFonts w:ascii="Cambria Math"/>
                          </w:rPr>
                          <m:t>p</m:t>
                        </m:r>
                        <m:ctrlPr>
                          <w:rPr>
                            <w:rFonts w:ascii="Cambria Math" w:hAnsi="Cambria Math"/>
                            <w:i/>
                          </w:rPr>
                        </m:ctrlPr>
                      </m:e>
                      <m:sub>
                        <m:r>
                          <m:rPr/>
                          <w:rPr>
                            <w:rFonts w:ascii="Cambria Math"/>
                          </w:rPr>
                          <m:t>s</m:t>
                        </m:r>
                        <m:ctrlPr>
                          <w:rPr>
                            <w:rFonts w:ascii="Cambria Math" w:hAnsi="Cambria Math"/>
                            <w:i/>
                          </w:rPr>
                        </m:ctrlPr>
                      </m:sub>
                    </m:sSub>
                    <m:ctrlPr>
                      <w:rPr>
                        <w:rFonts w:ascii="Cambria Math" w:hAnsi="Cambria Math"/>
                        <w:i/>
                      </w:rPr>
                    </m:ctrlPr>
                  </m:sub>
                </m:sSub>
                <m:d>
                  <m:dPr>
                    <m:ctrlPr>
                      <w:rPr>
                        <w:rFonts w:ascii="Cambria Math" w:hAnsi="Cambria Math"/>
                        <w:i/>
                      </w:rPr>
                    </m:ctrlPr>
                  </m:dPr>
                  <m:e>
                    <m:r>
                      <m:rPr/>
                      <w:rPr>
                        <w:rFonts w:ascii="Cambria Math"/>
                      </w:rPr>
                      <m:t>t,τ</m:t>
                    </m:r>
                    <m:ctrlPr>
                      <w:rPr>
                        <w:rFonts w:ascii="Cambria Math" w:hAnsi="Cambria Math"/>
                        <w:i/>
                      </w:rPr>
                    </m:ctrlPr>
                  </m:e>
                </m:d>
                <m:r>
                  <m:rPr/>
                  <w:rPr>
                    <w:rFonts w:hint="eastAsia" w:ascii="MS Gothic" w:hAnsi="MS Gothic" w:eastAsia="MS Gothic" w:cs="MS Gothic"/>
                  </w:rPr>
                  <m:t>⋅</m:t>
                </m:r>
                <m:sSubSup>
                  <m:sSubSupPr>
                    <m:ctrlPr>
                      <w:rPr>
                        <w:rFonts w:ascii="Cambria Math" w:hAnsi="Cambria Math"/>
                        <w:i/>
                      </w:rPr>
                    </m:ctrlPr>
                  </m:sSubSupPr>
                  <m:e>
                    <m:r>
                      <m:rPr/>
                      <w:rPr>
                        <w:rFonts w:ascii="Cambria Math"/>
                      </w:rPr>
                      <m:t>ℎ</m:t>
                    </m:r>
                    <m:ctrlPr>
                      <w:rPr>
                        <w:rFonts w:ascii="Cambria Math" w:hAnsi="Cambria Math"/>
                        <w:i/>
                      </w:rPr>
                    </m:ctrlPr>
                  </m:e>
                  <m:sub>
                    <m:r>
                      <m:rPr/>
                      <w:rPr>
                        <w:rFonts w:ascii="Cambria Math"/>
                      </w:rPr>
                      <m:t>s,</m:t>
                    </m:r>
                    <m:sSub>
                      <m:sSubPr>
                        <m:ctrlPr>
                          <w:rPr>
                            <w:rFonts w:ascii="Cambria Math" w:hAnsi="Cambria Math"/>
                            <w:i/>
                          </w:rPr>
                        </m:ctrlPr>
                      </m:sSubPr>
                      <m:e>
                        <m:r>
                          <m:rPr/>
                          <w:rPr>
                            <w:rFonts w:ascii="Cambria Math"/>
                          </w:rPr>
                          <m:t>q</m:t>
                        </m:r>
                        <m:ctrlPr>
                          <w:rPr>
                            <w:rFonts w:ascii="Cambria Math" w:hAnsi="Cambria Math"/>
                            <w:i/>
                          </w:rPr>
                        </m:ctrlPr>
                      </m:e>
                      <m:sub>
                        <m:r>
                          <m:rPr/>
                          <w:rPr>
                            <w:rFonts w:ascii="Cambria Math"/>
                          </w:rPr>
                          <m:t>s</m:t>
                        </m:r>
                        <m:ctrlPr>
                          <w:rPr>
                            <w:rFonts w:ascii="Cambria Math" w:hAnsi="Cambria Math"/>
                            <w:i/>
                          </w:rPr>
                        </m:ctrlPr>
                      </m:sub>
                    </m:sSub>
                    <m:r>
                      <m:rPr/>
                      <w:rPr>
                        <w:rFonts w:ascii="Cambria Math"/>
                      </w:rPr>
                      <m:t>,</m:t>
                    </m:r>
                    <m:sSub>
                      <m:sSubPr>
                        <m:ctrlPr>
                          <w:rPr>
                            <w:rFonts w:ascii="Cambria Math" w:hAnsi="Cambria Math"/>
                            <w:i/>
                          </w:rPr>
                        </m:ctrlPr>
                      </m:sSubPr>
                      <m:e>
                        <m:r>
                          <m:rPr/>
                          <w:rPr>
                            <w:rFonts w:ascii="Cambria Math"/>
                          </w:rPr>
                          <m:t>p</m:t>
                        </m:r>
                        <m:ctrlPr>
                          <w:rPr>
                            <w:rFonts w:ascii="Cambria Math" w:hAnsi="Cambria Math"/>
                            <w:i/>
                          </w:rPr>
                        </m:ctrlPr>
                      </m:e>
                      <m:sub>
                        <m:r>
                          <m:rPr/>
                          <w:rPr>
                            <w:rFonts w:ascii="Cambria Math"/>
                          </w:rPr>
                          <m:t>s</m:t>
                        </m:r>
                        <m:ctrlPr>
                          <w:rPr>
                            <w:rFonts w:ascii="Cambria Math" w:hAnsi="Cambria Math"/>
                            <w:i/>
                          </w:rPr>
                        </m:ctrlPr>
                      </m:sub>
                    </m:sSub>
                    <m:ctrlPr>
                      <w:rPr>
                        <w:rFonts w:ascii="Cambria Math" w:hAnsi="Cambria Math"/>
                        <w:i/>
                      </w:rPr>
                    </m:ctrlPr>
                  </m:sub>
                  <m:sup>
                    <m:r>
                      <m:rPr/>
                      <w:rPr>
                        <w:rFonts w:ascii="Cambria Math"/>
                      </w:rPr>
                      <m:t>∗</m:t>
                    </m:r>
                    <m:ctrlPr>
                      <w:rPr>
                        <w:rFonts w:ascii="Cambria Math" w:hAnsi="Cambria Math"/>
                        <w:i/>
                      </w:rPr>
                    </m:ctrlPr>
                  </m:sup>
                </m:sSubSup>
                <m:d>
                  <m:dPr>
                    <m:ctrlPr>
                      <w:rPr>
                        <w:rFonts w:ascii="Cambria Math" w:hAnsi="Cambria Math"/>
                        <w:i/>
                      </w:rPr>
                    </m:ctrlPr>
                  </m:dPr>
                  <m:e>
                    <m:r>
                      <m:rPr/>
                      <w:rPr>
                        <w:rFonts w:ascii="Cambria Math"/>
                      </w:rPr>
                      <m:t>t+Δt,τ</m:t>
                    </m:r>
                    <m:ctrlPr>
                      <w:rPr>
                        <w:rFonts w:ascii="Cambria Math" w:hAnsi="Cambria Math"/>
                        <w:i/>
                      </w:rPr>
                    </m:ctrlPr>
                  </m:e>
                </m:d>
                <m:ctrlPr>
                  <w:rPr>
                    <w:rFonts w:ascii="Cambria Math" w:hAnsi="Cambria Math"/>
                    <w:i/>
                  </w:rPr>
                </m:ctrlPr>
              </m:e>
            </m:d>
            <m:ctrlPr>
              <w:rPr>
                <w:rFonts w:ascii="Cambria Math" w:hAnsi="Cambria Math"/>
                <w:i/>
              </w:rPr>
            </m:ctrlPr>
          </m:e>
          <m:sub>
            <m:sSub>
              <m:sSubPr>
                <m:ctrlPr>
                  <w:rPr>
                    <w:rFonts w:ascii="Cambria Math" w:hAnsi="Cambria Math"/>
                    <w:i/>
                  </w:rPr>
                </m:ctrlPr>
              </m:sSubPr>
              <m:e>
                <m:r>
                  <m:rPr/>
                  <w:rPr>
                    <w:rFonts w:ascii="Cambria Math"/>
                  </w:rPr>
                  <m:t>Q</m:t>
                </m:r>
                <m:ctrlPr>
                  <w:rPr>
                    <w:rFonts w:ascii="Cambria Math" w:hAnsi="Cambria Math"/>
                    <w:i/>
                  </w:rPr>
                </m:ctrlPr>
              </m:e>
              <m:sub>
                <m:r>
                  <m:rPr/>
                  <w:rPr>
                    <w:rFonts w:ascii="Cambria Math"/>
                  </w:rPr>
                  <m:t>s</m:t>
                </m:r>
                <m:ctrlPr>
                  <w:rPr>
                    <w:rFonts w:ascii="Cambria Math" w:hAnsi="Cambria Math"/>
                    <w:i/>
                  </w:rPr>
                </m:ctrlPr>
              </m:sub>
            </m:sSub>
            <m:r>
              <m:rPr/>
              <w:rPr>
                <w:rFonts w:ascii="Cambria Math"/>
              </w:rPr>
              <m:t>×</m:t>
            </m:r>
            <m:sSub>
              <m:sSubPr>
                <m:ctrlPr>
                  <w:rPr>
                    <w:rFonts w:ascii="Cambria Math" w:hAnsi="Cambria Math"/>
                    <w:i/>
                  </w:rPr>
                </m:ctrlPr>
              </m:sSubPr>
              <m:e>
                <m:r>
                  <m:rPr/>
                  <w:rPr>
                    <w:rFonts w:ascii="Cambria Math"/>
                  </w:rPr>
                  <m:t>P</m:t>
                </m:r>
                <m:ctrlPr>
                  <w:rPr>
                    <w:rFonts w:ascii="Cambria Math" w:hAnsi="Cambria Math"/>
                    <w:i/>
                  </w:rPr>
                </m:ctrlPr>
              </m:e>
              <m:sub>
                <m:r>
                  <m:rPr/>
                  <w:rPr>
                    <w:rFonts w:ascii="Cambria Math"/>
                  </w:rPr>
                  <m:t>s</m:t>
                </m:r>
                <m:ctrlPr>
                  <w:rPr>
                    <w:rFonts w:ascii="Cambria Math" w:hAnsi="Cambria Math"/>
                    <w:i/>
                  </w:rPr>
                </m:ctrlPr>
              </m:sub>
            </m:sSub>
            <m:ctrlPr>
              <w:rPr>
                <w:rFonts w:ascii="Cambria Math" w:hAnsi="Cambria Math"/>
                <w:i/>
              </w:rPr>
            </m:ctrlPr>
          </m:sub>
        </m:sSub>
      </m:oMath>
      <w:r>
        <w:tab/>
      </w:r>
      <w:r>
        <w:fldChar w:fldCharType="begin"/>
      </w:r>
      <w:r>
        <w:instrText xml:space="preserve"> MACROBUTTON MTPlaceRef \* MERGEFORMAT </w:instrText>
      </w:r>
      <w:r>
        <w:fldChar w:fldCharType="begin"/>
      </w:r>
      <w:r>
        <w:instrText xml:space="preserve"> SEQ MTEqn \h \* MERGEFORMAT </w:instrText>
      </w:r>
      <w:r>
        <w:fldChar w:fldCharType="end"/>
      </w:r>
      <w:r>
        <w:instrText xml:space="preserve">(</w:instrText>
      </w:r>
      <w:r>
        <w:fldChar w:fldCharType="begin"/>
      </w:r>
      <w:r>
        <w:instrText xml:space="preserve"> SEQ MTSec \c \* Arabic \* MERGEFORMAT </w:instrText>
      </w:r>
      <w:r>
        <w:fldChar w:fldCharType="separate"/>
      </w:r>
      <w:r>
        <w:instrText xml:space="preserve">2</w:instrText>
      </w:r>
      <w:r>
        <w:fldChar w:fldCharType="end"/>
      </w:r>
      <w:r>
        <w:instrText xml:space="preserve">.</w:instrText>
      </w:r>
      <w:r>
        <w:fldChar w:fldCharType="begin"/>
      </w:r>
      <w:r>
        <w:instrText xml:space="preserve"> SEQ MTEqn \c \* Arabic \* MERGEFORMAT </w:instrText>
      </w:r>
      <w:r>
        <w:fldChar w:fldCharType="separate"/>
      </w:r>
      <w:r>
        <w:instrText xml:space="preserve">4</w:instrText>
      </w:r>
      <w:r>
        <w:fldChar w:fldCharType="end"/>
      </w:r>
      <w:r>
        <w:instrText xml:space="preserve">)</w:instrText>
      </w:r>
      <w:r>
        <w:fldChar w:fldCharType="end"/>
      </w:r>
    </w:p>
    <w:p w14:paraId="29458B2F">
      <w:pPr>
        <w:pStyle w:val="13"/>
      </w:pPr>
      <w:r>
        <w:tab/>
      </w:r>
      <m:oMath>
        <m:sSubSup>
          <m:sSubSupPr>
            <m:ctrlPr>
              <w:rPr>
                <w:rFonts w:ascii="Cambria Math" w:hAnsi="Cambria Math"/>
                <w:i/>
              </w:rPr>
            </m:ctrlPr>
          </m:sSubSupPr>
          <m:e>
            <m:r>
              <m:rPr/>
              <w:rPr>
                <w:rFonts w:ascii="Cambria Math"/>
              </w:rPr>
              <m:t>R</m:t>
            </m:r>
            <m:ctrlPr>
              <w:rPr>
                <w:rFonts w:ascii="Cambria Math" w:hAnsi="Cambria Math"/>
                <w:i/>
              </w:rPr>
            </m:ctrlPr>
          </m:e>
          <m:sub>
            <m:sSub>
              <m:sSubPr>
                <m:ctrlPr>
                  <w:rPr>
                    <w:rFonts w:ascii="Cambria Math" w:hAnsi="Cambria Math"/>
                    <w:i/>
                  </w:rPr>
                </m:ctrlPr>
              </m:sSubPr>
              <m:e>
                <m:r>
                  <m:rPr/>
                  <w:rPr>
                    <w:rFonts w:ascii="Cambria Math"/>
                  </w:rPr>
                  <m:t>q</m:t>
                </m:r>
                <m:ctrlPr>
                  <w:rPr>
                    <w:rFonts w:ascii="Cambria Math" w:hAnsi="Cambria Math"/>
                    <w:i/>
                  </w:rPr>
                </m:ctrlPr>
              </m:e>
              <m:sub>
                <m:r>
                  <m:rPr/>
                  <w:rPr>
                    <w:rFonts w:ascii="Cambria Math"/>
                  </w:rPr>
                  <m:t>c</m:t>
                </m:r>
                <m:ctrlPr>
                  <w:rPr>
                    <w:rFonts w:ascii="Cambria Math" w:hAnsi="Cambria Math"/>
                    <w:i/>
                  </w:rPr>
                </m:ctrlPr>
              </m:sub>
            </m:sSub>
            <m:r>
              <m:rPr/>
              <w:rPr>
                <w:rFonts w:ascii="Cambria Math"/>
              </w:rPr>
              <m:t>,</m:t>
            </m:r>
            <m:sSub>
              <m:sSubPr>
                <m:ctrlPr>
                  <w:rPr>
                    <w:rFonts w:ascii="Cambria Math" w:hAnsi="Cambria Math"/>
                    <w:i/>
                  </w:rPr>
                </m:ctrlPr>
              </m:sSubPr>
              <m:e>
                <m:r>
                  <m:rPr/>
                  <w:rPr>
                    <w:rFonts w:ascii="Cambria Math"/>
                  </w:rPr>
                  <m:t>p</m:t>
                </m:r>
                <m:ctrlPr>
                  <w:rPr>
                    <w:rFonts w:ascii="Cambria Math" w:hAnsi="Cambria Math"/>
                    <w:i/>
                  </w:rPr>
                </m:ctrlPr>
              </m:e>
              <m:sub>
                <m:r>
                  <m:rPr/>
                  <w:rPr>
                    <w:rFonts w:ascii="Cambria Math"/>
                  </w:rPr>
                  <m:t>c</m:t>
                </m:r>
                <m:ctrlPr>
                  <w:rPr>
                    <w:rFonts w:ascii="Cambria Math" w:hAnsi="Cambria Math"/>
                    <w:i/>
                  </w:rPr>
                </m:ctrlPr>
              </m:sub>
            </m:sSub>
            <m:ctrlPr>
              <w:rPr>
                <w:rFonts w:ascii="Cambria Math" w:hAnsi="Cambria Math"/>
                <w:i/>
              </w:rPr>
            </m:ctrlPr>
          </m:sub>
          <m:sup>
            <m:r>
              <m:rPr/>
              <w:rPr>
                <w:rFonts w:ascii="Cambria Math"/>
              </w:rPr>
              <m:t>c</m:t>
            </m:r>
            <m:ctrlPr>
              <w:rPr>
                <w:rFonts w:ascii="Cambria Math" w:hAnsi="Cambria Math"/>
                <w:i/>
              </w:rPr>
            </m:ctrlPr>
          </m:sup>
        </m:sSubSup>
        <m:r>
          <m:rPr/>
          <w:rPr>
            <w:rFonts w:ascii="Cambria Math"/>
          </w:rPr>
          <m:t>=</m:t>
        </m:r>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m:rPr/>
                      <w:rPr>
                        <w:rFonts w:ascii="Cambria Math"/>
                      </w:rPr>
                      <m:t>ℎ</m:t>
                    </m:r>
                    <m:ctrlPr>
                      <w:rPr>
                        <w:rFonts w:ascii="Cambria Math" w:hAnsi="Cambria Math"/>
                        <w:i/>
                      </w:rPr>
                    </m:ctrlPr>
                  </m:e>
                  <m:sub>
                    <m:r>
                      <m:rPr/>
                      <w:rPr>
                        <w:rFonts w:ascii="Cambria Math"/>
                      </w:rPr>
                      <m:t>c,</m:t>
                    </m:r>
                    <m:sSub>
                      <m:sSubPr>
                        <m:ctrlPr>
                          <w:rPr>
                            <w:rFonts w:ascii="Cambria Math" w:hAnsi="Cambria Math"/>
                            <w:i/>
                          </w:rPr>
                        </m:ctrlPr>
                      </m:sSubPr>
                      <m:e>
                        <m:r>
                          <m:rPr/>
                          <w:rPr>
                            <w:rFonts w:ascii="Cambria Math"/>
                          </w:rPr>
                          <m:t>q</m:t>
                        </m:r>
                        <m:ctrlPr>
                          <w:rPr>
                            <w:rFonts w:ascii="Cambria Math" w:hAnsi="Cambria Math"/>
                            <w:i/>
                          </w:rPr>
                        </m:ctrlPr>
                      </m:e>
                      <m:sub>
                        <m:r>
                          <m:rPr/>
                          <w:rPr>
                            <w:rFonts w:ascii="Cambria Math"/>
                          </w:rPr>
                          <m:t>c</m:t>
                        </m:r>
                        <m:ctrlPr>
                          <w:rPr>
                            <w:rFonts w:ascii="Cambria Math" w:hAnsi="Cambria Math"/>
                            <w:i/>
                          </w:rPr>
                        </m:ctrlPr>
                      </m:sub>
                    </m:sSub>
                    <m:r>
                      <m:rPr/>
                      <w:rPr>
                        <w:rFonts w:ascii="Cambria Math"/>
                      </w:rPr>
                      <m:t>,</m:t>
                    </m:r>
                    <m:sSub>
                      <m:sSubPr>
                        <m:ctrlPr>
                          <w:rPr>
                            <w:rFonts w:ascii="Cambria Math" w:hAnsi="Cambria Math"/>
                            <w:i/>
                          </w:rPr>
                        </m:ctrlPr>
                      </m:sSubPr>
                      <m:e>
                        <m:r>
                          <m:rPr/>
                          <w:rPr>
                            <w:rFonts w:ascii="Cambria Math"/>
                          </w:rPr>
                          <m:t>p</m:t>
                        </m:r>
                        <m:ctrlPr>
                          <w:rPr>
                            <w:rFonts w:ascii="Cambria Math" w:hAnsi="Cambria Math"/>
                            <w:i/>
                          </w:rPr>
                        </m:ctrlPr>
                      </m:e>
                      <m:sub>
                        <m:r>
                          <m:rPr/>
                          <w:rPr>
                            <w:rFonts w:ascii="Cambria Math"/>
                          </w:rPr>
                          <m:t>c</m:t>
                        </m:r>
                        <m:ctrlPr>
                          <w:rPr>
                            <w:rFonts w:ascii="Cambria Math" w:hAnsi="Cambria Math"/>
                            <w:i/>
                          </w:rPr>
                        </m:ctrlPr>
                      </m:sub>
                    </m:sSub>
                    <m:ctrlPr>
                      <w:rPr>
                        <w:rFonts w:ascii="Cambria Math" w:hAnsi="Cambria Math"/>
                        <w:i/>
                      </w:rPr>
                    </m:ctrlPr>
                  </m:sub>
                </m:sSub>
                <m:d>
                  <m:dPr>
                    <m:ctrlPr>
                      <w:rPr>
                        <w:rFonts w:ascii="Cambria Math" w:hAnsi="Cambria Math"/>
                        <w:i/>
                      </w:rPr>
                    </m:ctrlPr>
                  </m:dPr>
                  <m:e>
                    <m:r>
                      <m:rPr/>
                      <w:rPr>
                        <w:rFonts w:ascii="Cambria Math"/>
                      </w:rPr>
                      <m:t>t,τ</m:t>
                    </m:r>
                    <m:ctrlPr>
                      <w:rPr>
                        <w:rFonts w:ascii="Cambria Math" w:hAnsi="Cambria Math"/>
                        <w:i/>
                      </w:rPr>
                    </m:ctrlPr>
                  </m:e>
                </m:d>
                <m:r>
                  <m:rPr/>
                  <w:rPr>
                    <w:rFonts w:hint="eastAsia" w:ascii="MS Gothic" w:hAnsi="MS Gothic" w:eastAsia="MS Gothic" w:cs="MS Gothic"/>
                  </w:rPr>
                  <m:t>⋅</m:t>
                </m:r>
                <m:sSubSup>
                  <m:sSubSupPr>
                    <m:ctrlPr>
                      <w:rPr>
                        <w:rFonts w:ascii="Cambria Math" w:hAnsi="Cambria Math"/>
                        <w:i/>
                      </w:rPr>
                    </m:ctrlPr>
                  </m:sSubSupPr>
                  <m:e>
                    <m:r>
                      <m:rPr/>
                      <w:rPr>
                        <w:rFonts w:ascii="Cambria Math"/>
                      </w:rPr>
                      <m:t>ℎ</m:t>
                    </m:r>
                    <m:ctrlPr>
                      <w:rPr>
                        <w:rFonts w:ascii="Cambria Math" w:hAnsi="Cambria Math"/>
                        <w:i/>
                      </w:rPr>
                    </m:ctrlPr>
                  </m:e>
                  <m:sub>
                    <m:r>
                      <m:rPr/>
                      <w:rPr>
                        <w:rFonts w:ascii="Cambria Math" w:hAnsi="Cambria Math"/>
                      </w:rPr>
                      <m:t>c</m:t>
                    </m:r>
                    <m:r>
                      <m:rPr/>
                      <w:rPr>
                        <w:rFonts w:ascii="Cambria Math"/>
                      </w:rPr>
                      <m:t>,</m:t>
                    </m:r>
                    <m:sSub>
                      <m:sSubPr>
                        <m:ctrlPr>
                          <w:rPr>
                            <w:rFonts w:ascii="Cambria Math" w:hAnsi="Cambria Math"/>
                            <w:i/>
                          </w:rPr>
                        </m:ctrlPr>
                      </m:sSubPr>
                      <m:e>
                        <m:r>
                          <m:rPr/>
                          <w:rPr>
                            <w:rFonts w:ascii="Cambria Math"/>
                          </w:rPr>
                          <m:t>q</m:t>
                        </m:r>
                        <m:ctrlPr>
                          <w:rPr>
                            <w:rFonts w:ascii="Cambria Math" w:hAnsi="Cambria Math"/>
                            <w:i/>
                          </w:rPr>
                        </m:ctrlPr>
                      </m:e>
                      <m:sub>
                        <m:r>
                          <m:rPr/>
                          <w:rPr>
                            <w:rFonts w:ascii="Cambria Math"/>
                          </w:rPr>
                          <m:t>c</m:t>
                        </m:r>
                        <m:ctrlPr>
                          <w:rPr>
                            <w:rFonts w:ascii="Cambria Math" w:hAnsi="Cambria Math"/>
                            <w:i/>
                          </w:rPr>
                        </m:ctrlPr>
                      </m:sub>
                    </m:sSub>
                    <m:r>
                      <m:rPr/>
                      <w:rPr>
                        <w:rFonts w:ascii="Cambria Math"/>
                      </w:rPr>
                      <m:t>,</m:t>
                    </m:r>
                    <m:sSub>
                      <m:sSubPr>
                        <m:ctrlPr>
                          <w:rPr>
                            <w:rFonts w:ascii="Cambria Math" w:hAnsi="Cambria Math"/>
                            <w:i/>
                          </w:rPr>
                        </m:ctrlPr>
                      </m:sSubPr>
                      <m:e>
                        <m:r>
                          <m:rPr/>
                          <w:rPr>
                            <w:rFonts w:ascii="Cambria Math"/>
                          </w:rPr>
                          <m:t>p</m:t>
                        </m:r>
                        <m:ctrlPr>
                          <w:rPr>
                            <w:rFonts w:ascii="Cambria Math" w:hAnsi="Cambria Math"/>
                            <w:i/>
                          </w:rPr>
                        </m:ctrlPr>
                      </m:e>
                      <m:sub>
                        <m:r>
                          <m:rPr/>
                          <w:rPr>
                            <w:rFonts w:ascii="Cambria Math"/>
                          </w:rPr>
                          <m:t>c</m:t>
                        </m:r>
                        <m:ctrlPr>
                          <w:rPr>
                            <w:rFonts w:ascii="Cambria Math" w:hAnsi="Cambria Math"/>
                            <w:i/>
                          </w:rPr>
                        </m:ctrlPr>
                      </m:sub>
                    </m:sSub>
                    <m:ctrlPr>
                      <w:rPr>
                        <w:rFonts w:ascii="Cambria Math" w:hAnsi="Cambria Math"/>
                        <w:i/>
                      </w:rPr>
                    </m:ctrlPr>
                  </m:sub>
                  <m:sup>
                    <m:r>
                      <m:rPr/>
                      <w:rPr>
                        <w:rFonts w:ascii="Cambria Math"/>
                      </w:rPr>
                      <m:t>∗</m:t>
                    </m:r>
                    <m:ctrlPr>
                      <w:rPr>
                        <w:rFonts w:ascii="Cambria Math" w:hAnsi="Cambria Math"/>
                        <w:i/>
                      </w:rPr>
                    </m:ctrlPr>
                  </m:sup>
                </m:sSubSup>
                <m:d>
                  <m:dPr>
                    <m:ctrlPr>
                      <w:rPr>
                        <w:rFonts w:ascii="Cambria Math" w:hAnsi="Cambria Math"/>
                        <w:i/>
                      </w:rPr>
                    </m:ctrlPr>
                  </m:dPr>
                  <m:e>
                    <m:r>
                      <m:rPr/>
                      <w:rPr>
                        <w:rFonts w:ascii="Cambria Math"/>
                      </w:rPr>
                      <m:t>t+Δt,τ</m:t>
                    </m:r>
                    <m:ctrlPr>
                      <w:rPr>
                        <w:rFonts w:ascii="Cambria Math" w:hAnsi="Cambria Math"/>
                        <w:i/>
                      </w:rPr>
                    </m:ctrlPr>
                  </m:e>
                </m:d>
                <m:ctrlPr>
                  <w:rPr>
                    <w:rFonts w:ascii="Cambria Math" w:hAnsi="Cambria Math"/>
                    <w:i/>
                  </w:rPr>
                </m:ctrlPr>
              </m:e>
            </m:d>
            <m:ctrlPr>
              <w:rPr>
                <w:rFonts w:ascii="Cambria Math" w:hAnsi="Cambria Math"/>
                <w:i/>
              </w:rPr>
            </m:ctrlPr>
          </m:e>
          <m:sub>
            <m:sSub>
              <m:sSubPr>
                <m:ctrlPr>
                  <w:rPr>
                    <w:rFonts w:ascii="Cambria Math" w:hAnsi="Cambria Math"/>
                    <w:i/>
                  </w:rPr>
                </m:ctrlPr>
              </m:sSubPr>
              <m:e>
                <m:r>
                  <m:rPr/>
                  <w:rPr>
                    <w:rFonts w:ascii="Cambria Math"/>
                  </w:rPr>
                  <m:t>Q</m:t>
                </m:r>
                <m:ctrlPr>
                  <w:rPr>
                    <w:rFonts w:ascii="Cambria Math" w:hAnsi="Cambria Math"/>
                    <w:i/>
                  </w:rPr>
                </m:ctrlPr>
              </m:e>
              <m:sub>
                <m:r>
                  <m:rPr/>
                  <w:rPr>
                    <w:rFonts w:ascii="Cambria Math"/>
                  </w:rPr>
                  <m:t>c</m:t>
                </m:r>
                <m:ctrlPr>
                  <w:rPr>
                    <w:rFonts w:ascii="Cambria Math" w:hAnsi="Cambria Math"/>
                    <w:i/>
                  </w:rPr>
                </m:ctrlPr>
              </m:sub>
            </m:sSub>
            <m:r>
              <m:rPr/>
              <w:rPr>
                <w:rFonts w:ascii="Cambria Math"/>
              </w:rPr>
              <m:t>×</m:t>
            </m:r>
            <m:sSub>
              <m:sSubPr>
                <m:ctrlPr>
                  <w:rPr>
                    <w:rFonts w:ascii="Cambria Math" w:hAnsi="Cambria Math"/>
                    <w:i/>
                  </w:rPr>
                </m:ctrlPr>
              </m:sSubPr>
              <m:e>
                <m:r>
                  <m:rPr/>
                  <w:rPr>
                    <w:rFonts w:ascii="Cambria Math"/>
                  </w:rPr>
                  <m:t>P</m:t>
                </m:r>
                <m:ctrlPr>
                  <w:rPr>
                    <w:rFonts w:ascii="Cambria Math" w:hAnsi="Cambria Math"/>
                    <w:i/>
                  </w:rPr>
                </m:ctrlPr>
              </m:e>
              <m:sub>
                <m:r>
                  <m:rPr/>
                  <w:rPr>
                    <w:rFonts w:ascii="Cambria Math"/>
                  </w:rPr>
                  <m:t>c</m:t>
                </m:r>
                <m:ctrlPr>
                  <w:rPr>
                    <w:rFonts w:ascii="Cambria Math" w:hAnsi="Cambria Math"/>
                    <w:i/>
                  </w:rPr>
                </m:ctrlPr>
              </m:sub>
            </m:sSub>
            <m:ctrlPr>
              <w:rPr>
                <w:rFonts w:ascii="Cambria Math" w:hAnsi="Cambria Math"/>
                <w:i/>
              </w:rPr>
            </m:ctrlPr>
          </m:sub>
        </m:sSub>
      </m:oMath>
      <w:r>
        <w:tab/>
      </w:r>
      <w:r>
        <w:fldChar w:fldCharType="begin"/>
      </w:r>
      <w:r>
        <w:instrText xml:space="preserve"> MACROBUTTON MTPlaceRef \* MERGEFORMAT </w:instrText>
      </w:r>
      <w:r>
        <w:fldChar w:fldCharType="begin"/>
      </w:r>
      <w:r>
        <w:instrText xml:space="preserve"> SEQ MTEqn \h \* MERGEFORMAT </w:instrText>
      </w:r>
      <w:r>
        <w:fldChar w:fldCharType="end"/>
      </w:r>
      <w:r>
        <w:instrText xml:space="preserve">(</w:instrText>
      </w:r>
      <w:r>
        <w:fldChar w:fldCharType="begin"/>
      </w:r>
      <w:r>
        <w:instrText xml:space="preserve"> SEQ MTSec \c \* Arabic \* MERGEFORMAT </w:instrText>
      </w:r>
      <w:r>
        <w:fldChar w:fldCharType="separate"/>
      </w:r>
      <w:r>
        <w:instrText xml:space="preserve">2</w:instrText>
      </w:r>
      <w:r>
        <w:fldChar w:fldCharType="end"/>
      </w:r>
      <w:r>
        <w:instrText xml:space="preserve">.</w:instrText>
      </w:r>
      <w:r>
        <w:fldChar w:fldCharType="begin"/>
      </w:r>
      <w:r>
        <w:instrText xml:space="preserve"> SEQ MTEqn \c \* Arabic \* MERGEFORMAT </w:instrText>
      </w:r>
      <w:r>
        <w:fldChar w:fldCharType="separate"/>
      </w:r>
      <w:r>
        <w:instrText xml:space="preserve">5</w:instrText>
      </w:r>
      <w:r>
        <w:fldChar w:fldCharType="end"/>
      </w:r>
      <w:r>
        <w:instrText xml:space="preserve">)</w:instrText>
      </w:r>
      <w:r>
        <w:fldChar w:fldCharType="end"/>
      </w:r>
    </w:p>
    <w:p w14:paraId="7ABE4235">
      <w:pPr>
        <w:jc w:val="both"/>
      </w:pPr>
      <w:r>
        <w:t xml:space="preserve">where </w:t>
      </w:r>
      <m:oMath>
        <m:sSub>
          <m:sSubPr>
            <m:ctrlPr>
              <w:rPr>
                <w:rFonts w:ascii="Cambria Math" w:hAnsi="Cambria Math"/>
                <w:i/>
              </w:rPr>
            </m:ctrlPr>
          </m:sSubPr>
          <m:e>
            <m:r>
              <m:rPr/>
              <w:rPr>
                <w:rFonts w:ascii="Cambria Math"/>
              </w:rPr>
              <m:t>ℎ</m:t>
            </m:r>
            <m:ctrlPr>
              <w:rPr>
                <w:rFonts w:ascii="Cambria Math" w:hAnsi="Cambria Math"/>
                <w:i/>
              </w:rPr>
            </m:ctrlPr>
          </m:e>
          <m:sub>
            <m:r>
              <m:rPr/>
              <w:rPr>
                <w:rFonts w:ascii="Cambria Math"/>
              </w:rPr>
              <m:t>s,</m:t>
            </m:r>
            <m:sSub>
              <m:sSubPr>
                <m:ctrlPr>
                  <w:rPr>
                    <w:rFonts w:ascii="Cambria Math" w:hAnsi="Cambria Math"/>
                    <w:i/>
                  </w:rPr>
                </m:ctrlPr>
              </m:sSubPr>
              <m:e>
                <m:r>
                  <m:rPr/>
                  <w:rPr>
                    <w:rFonts w:ascii="Cambria Math"/>
                  </w:rPr>
                  <m:t>q</m:t>
                </m:r>
                <m:ctrlPr>
                  <w:rPr>
                    <w:rFonts w:ascii="Cambria Math" w:hAnsi="Cambria Math"/>
                    <w:i/>
                  </w:rPr>
                </m:ctrlPr>
              </m:e>
              <m:sub>
                <m:r>
                  <m:rPr/>
                  <w:rPr>
                    <w:rFonts w:ascii="Cambria Math"/>
                  </w:rPr>
                  <m:t>s</m:t>
                </m:r>
                <m:ctrlPr>
                  <w:rPr>
                    <w:rFonts w:ascii="Cambria Math" w:hAnsi="Cambria Math"/>
                    <w:i/>
                  </w:rPr>
                </m:ctrlPr>
              </m:sub>
            </m:sSub>
            <m:r>
              <m:rPr/>
              <w:rPr>
                <w:rFonts w:ascii="Cambria Math"/>
              </w:rPr>
              <m:t>,</m:t>
            </m:r>
            <m:sSub>
              <m:sSubPr>
                <m:ctrlPr>
                  <w:rPr>
                    <w:rFonts w:ascii="Cambria Math" w:hAnsi="Cambria Math"/>
                    <w:i/>
                  </w:rPr>
                </m:ctrlPr>
              </m:sSubPr>
              <m:e>
                <m:r>
                  <m:rPr/>
                  <w:rPr>
                    <w:rFonts w:ascii="Cambria Math"/>
                  </w:rPr>
                  <m:t>p</m:t>
                </m:r>
                <m:ctrlPr>
                  <w:rPr>
                    <w:rFonts w:ascii="Cambria Math" w:hAnsi="Cambria Math"/>
                    <w:i/>
                  </w:rPr>
                </m:ctrlPr>
              </m:e>
              <m:sub>
                <m:r>
                  <m:rPr/>
                  <w:rPr>
                    <w:rFonts w:ascii="Cambria Math"/>
                  </w:rPr>
                  <m:t>s</m:t>
                </m:r>
                <m:ctrlPr>
                  <w:rPr>
                    <w:rFonts w:ascii="Cambria Math" w:hAnsi="Cambria Math"/>
                    <w:i/>
                  </w:rPr>
                </m:ctrlPr>
              </m:sub>
            </m:sSub>
            <m:ctrlPr>
              <w:rPr>
                <w:rFonts w:ascii="Cambria Math" w:hAnsi="Cambria Math"/>
                <w:i/>
              </w:rPr>
            </m:ctrlPr>
          </m:sub>
        </m:sSub>
        <m:d>
          <m:dPr>
            <m:ctrlPr>
              <w:rPr>
                <w:rFonts w:ascii="Cambria Math" w:hAnsi="Cambria Math"/>
                <w:i/>
              </w:rPr>
            </m:ctrlPr>
          </m:dPr>
          <m:e>
            <m:r>
              <m:rPr/>
              <w:rPr>
                <w:rFonts w:ascii="Cambria Math"/>
              </w:rPr>
              <m:t>t,τ</m:t>
            </m:r>
            <m:ctrlPr>
              <w:rPr>
                <w:rFonts w:ascii="Cambria Math" w:hAnsi="Cambria Math"/>
                <w:i/>
              </w:rPr>
            </m:ctrlPr>
          </m:e>
        </m:d>
      </m:oMath>
      <w:r>
        <w:rPr>
          <w:rFonts w:hint="eastAsia"/>
        </w:rPr>
        <w:t xml:space="preserve"> </w:t>
      </w:r>
      <w:r>
        <w:t xml:space="preserve">and </w:t>
      </w:r>
      <m:oMath>
        <m:sSub>
          <m:sSubPr>
            <m:ctrlPr>
              <w:rPr>
                <w:rFonts w:ascii="Cambria Math" w:hAnsi="Cambria Math"/>
                <w:i/>
              </w:rPr>
            </m:ctrlPr>
          </m:sSubPr>
          <m:e>
            <m:r>
              <m:rPr/>
              <w:rPr>
                <w:rFonts w:ascii="Cambria Math"/>
              </w:rPr>
              <m:t>ℎ</m:t>
            </m:r>
            <m:ctrlPr>
              <w:rPr>
                <w:rFonts w:ascii="Cambria Math" w:hAnsi="Cambria Math"/>
                <w:i/>
              </w:rPr>
            </m:ctrlPr>
          </m:e>
          <m:sub>
            <m:r>
              <m:rPr/>
              <w:rPr>
                <w:rFonts w:ascii="Cambria Math"/>
              </w:rPr>
              <m:t>c,</m:t>
            </m:r>
            <m:sSub>
              <m:sSubPr>
                <m:ctrlPr>
                  <w:rPr>
                    <w:rFonts w:ascii="Cambria Math" w:hAnsi="Cambria Math"/>
                    <w:i/>
                  </w:rPr>
                </m:ctrlPr>
              </m:sSubPr>
              <m:e>
                <m:r>
                  <m:rPr/>
                  <w:rPr>
                    <w:rFonts w:ascii="Cambria Math"/>
                  </w:rPr>
                  <m:t>q</m:t>
                </m:r>
                <m:ctrlPr>
                  <w:rPr>
                    <w:rFonts w:ascii="Cambria Math" w:hAnsi="Cambria Math"/>
                    <w:i/>
                  </w:rPr>
                </m:ctrlPr>
              </m:e>
              <m:sub>
                <m:r>
                  <m:rPr/>
                  <w:rPr>
                    <w:rFonts w:ascii="Cambria Math"/>
                  </w:rPr>
                  <m:t>c</m:t>
                </m:r>
                <m:ctrlPr>
                  <w:rPr>
                    <w:rFonts w:ascii="Cambria Math" w:hAnsi="Cambria Math"/>
                    <w:i/>
                  </w:rPr>
                </m:ctrlPr>
              </m:sub>
            </m:sSub>
            <m:r>
              <m:rPr/>
              <w:rPr>
                <w:rFonts w:ascii="Cambria Math"/>
              </w:rPr>
              <m:t>,</m:t>
            </m:r>
            <m:sSub>
              <m:sSubPr>
                <m:ctrlPr>
                  <w:rPr>
                    <w:rFonts w:ascii="Cambria Math" w:hAnsi="Cambria Math"/>
                    <w:i/>
                  </w:rPr>
                </m:ctrlPr>
              </m:sSubPr>
              <m:e>
                <m:r>
                  <m:rPr/>
                  <w:rPr>
                    <w:rFonts w:ascii="Cambria Math"/>
                  </w:rPr>
                  <m:t>p</m:t>
                </m:r>
                <m:ctrlPr>
                  <w:rPr>
                    <w:rFonts w:ascii="Cambria Math" w:hAnsi="Cambria Math"/>
                    <w:i/>
                  </w:rPr>
                </m:ctrlPr>
              </m:e>
              <m:sub>
                <m:r>
                  <m:rPr/>
                  <w:rPr>
                    <w:rFonts w:ascii="Cambria Math"/>
                  </w:rPr>
                  <m:t>c</m:t>
                </m:r>
                <m:ctrlPr>
                  <w:rPr>
                    <w:rFonts w:ascii="Cambria Math" w:hAnsi="Cambria Math"/>
                    <w:i/>
                  </w:rPr>
                </m:ctrlPr>
              </m:sub>
            </m:sSub>
            <m:ctrlPr>
              <w:rPr>
                <w:rFonts w:ascii="Cambria Math" w:hAnsi="Cambria Math"/>
                <w:i/>
              </w:rPr>
            </m:ctrlPr>
          </m:sub>
        </m:sSub>
        <m:d>
          <m:dPr>
            <m:ctrlPr>
              <w:rPr>
                <w:rFonts w:ascii="Cambria Math" w:hAnsi="Cambria Math"/>
                <w:i/>
              </w:rPr>
            </m:ctrlPr>
          </m:dPr>
          <m:e>
            <m:r>
              <m:rPr/>
              <w:rPr>
                <w:rFonts w:ascii="Cambria Math"/>
              </w:rPr>
              <m:t>t,τ</m:t>
            </m:r>
            <m:ctrlPr>
              <w:rPr>
                <w:rFonts w:ascii="Cambria Math" w:hAnsi="Cambria Math"/>
                <w:i/>
              </w:rPr>
            </m:ctrlPr>
          </m:e>
        </m:d>
      </m:oMath>
      <w:r>
        <w:rPr>
          <w:rFonts w:hint="eastAsia"/>
        </w:rPr>
        <w:t xml:space="preserve"> </w:t>
      </w:r>
      <w:r>
        <w:t xml:space="preserve">are CIRs of sensing and communication channels, </w:t>
      </w:r>
      <w:r>
        <w:rPr>
          <w:rFonts w:hint="eastAsia"/>
        </w:rPr>
        <w:t>respectively</w:t>
      </w:r>
      <w:r>
        <w:t>.</w:t>
      </w:r>
    </w:p>
    <w:p w14:paraId="20682704">
      <w:pPr>
        <w:jc w:val="center"/>
      </w:pPr>
      <w:r>
        <w:drawing>
          <wp:inline distT="0" distB="0" distL="0" distR="0">
            <wp:extent cx="2162175" cy="183388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9"/>
                    <a:stretch>
                      <a:fillRect/>
                    </a:stretch>
                  </pic:blipFill>
                  <pic:spPr>
                    <a:xfrm>
                      <a:off x="0" y="0"/>
                      <a:ext cx="2174127" cy="1844054"/>
                    </a:xfrm>
                    <a:prstGeom prst="rect">
                      <a:avLst/>
                    </a:prstGeom>
                  </pic:spPr>
                </pic:pic>
              </a:graphicData>
            </a:graphic>
          </wp:inline>
        </w:drawing>
      </w:r>
    </w:p>
    <w:p w14:paraId="345CBFFE">
      <w:pPr>
        <w:jc w:val="center"/>
      </w:pPr>
      <w:r>
        <w:t>Fig. 5. TACFs of communication and sensing channels.</w:t>
      </w:r>
    </w:p>
    <w:p w14:paraId="51B17C88">
      <w:pPr>
        <w:jc w:val="both"/>
      </w:pPr>
    </w:p>
    <w:p w14:paraId="17B9B793">
      <w:pPr>
        <w:ind w:firstLine="480" w:firstLineChars="200"/>
        <w:jc w:val="both"/>
      </w:pPr>
      <w:r>
        <w:t>It can be found that TACFs of communication channels are larger than that of sensing channels in both NLoS and LoS environments, illustrating that the temporal correlation of the perception channel is weak. Comparing the TACFs of communication channels in NLoS and LoS environments, it can be found that the TACF in NLoS environment is larger than that in LoS environment, indicating that the time-varying of the communication channel in LoS environment is more significant than that in NLoS environment.</w:t>
      </w:r>
    </w:p>
    <w:p w14:paraId="50714A7C">
      <w:pPr>
        <w:ind w:firstLine="480" w:firstLineChars="200"/>
        <w:jc w:val="both"/>
      </w:pPr>
    </w:p>
    <w:p w14:paraId="22965827">
      <w:pPr>
        <w:jc w:val="both"/>
        <w:rPr>
          <w:i/>
          <w:iCs/>
        </w:rPr>
      </w:pPr>
      <w:r>
        <w:rPr>
          <w:rFonts w:hint="eastAsia"/>
          <w:b/>
          <w:bCs/>
          <w:i/>
          <w:iCs/>
          <w:u w:val="single"/>
        </w:rPr>
        <w:t xml:space="preserve">Observation </w:t>
      </w:r>
      <w:r>
        <w:rPr>
          <w:b/>
          <w:bCs/>
          <w:i/>
          <w:iCs/>
          <w:u w:val="single"/>
        </w:rPr>
        <w:t>3</w:t>
      </w:r>
      <w:r>
        <w:rPr>
          <w:rFonts w:hint="eastAsia"/>
          <w:b/>
          <w:bCs/>
          <w:i/>
          <w:iCs/>
          <w:u w:val="single"/>
        </w:rPr>
        <w:t>:</w:t>
      </w:r>
      <w:r>
        <w:rPr>
          <w:rFonts w:hint="eastAsia"/>
          <w:i/>
          <w:iCs/>
          <w:u w:val="single"/>
        </w:rPr>
        <w:t xml:space="preserve"> </w:t>
      </w:r>
      <w:r>
        <w:rPr>
          <w:i/>
          <w:iCs/>
        </w:rPr>
        <w:t>TACFs of communication channels are larger than that of sensing channels in both NLoS and LoS environments, illustrating that the temporal correlation of the perception channel is weak.</w:t>
      </w:r>
    </w:p>
    <w:p w14:paraId="7CC09087">
      <w:pPr>
        <w:jc w:val="both"/>
      </w:pPr>
    </w:p>
    <w:p w14:paraId="152A82F0">
      <w:pPr>
        <w:spacing w:before="120" w:after="120"/>
        <w:jc w:val="both"/>
        <w:rPr>
          <w:rFonts w:hint="default" w:ascii="Times New Roman Italic" w:hAnsi="Times New Roman Italic" w:cs="Times New Roman Italic"/>
          <w:b w:val="0"/>
          <w:bCs/>
          <w:i/>
        </w:rPr>
      </w:pPr>
      <w:r>
        <w:rPr>
          <w:b/>
          <w:i/>
          <w:u w:val="single"/>
        </w:rPr>
        <w:t>Proposal 2:</w:t>
      </w:r>
      <w:r>
        <w:rPr>
          <w:b/>
          <w:i/>
        </w:rPr>
        <w:t xml:space="preserve"> </w:t>
      </w:r>
      <w:r>
        <w:rPr>
          <w:rFonts w:hint="default" w:ascii="Times New Roman Italic" w:hAnsi="Times New Roman Italic" w:cs="Times New Roman Italic"/>
          <w:b w:val="0"/>
          <w:bCs/>
          <w:i/>
        </w:rPr>
        <w:t>The temporal correlation of monostatic sensing channel is weaker compared to that of the communication channel (bi-static channel).</w:t>
      </w:r>
    </w:p>
    <w:p w14:paraId="341697AC">
      <w:pPr>
        <w:spacing w:before="120" w:after="120"/>
        <w:rPr>
          <w:b/>
          <w:i/>
        </w:rPr>
      </w:pPr>
    </w:p>
    <w:p w14:paraId="7D5CB839">
      <w:pPr>
        <w:pStyle w:val="10"/>
        <w:numPr>
          <w:numId w:val="0"/>
        </w:numPr>
        <w:jc w:val="both"/>
      </w:pPr>
      <w:r>
        <w:rPr>
          <w:rFonts w:hint="default"/>
          <w:lang w:val="en-US"/>
        </w:rPr>
        <w:t xml:space="preserve">2.2.4 </w:t>
      </w:r>
      <w:r>
        <w:t>Delay spread and angular spread</w:t>
      </w:r>
    </w:p>
    <w:p w14:paraId="22311B84">
      <w:pPr>
        <w:ind w:firstLine="480" w:firstLineChars="200"/>
        <w:jc w:val="both"/>
      </w:pPr>
      <w:r>
        <w:rPr>
          <w:rFonts w:hint="eastAsia"/>
        </w:rPr>
        <w:t>Delay spread characterizes the extent to which the power of a signal is dispersed across multiple paths in the time domain, reflecting the degree of multipath dispersion. The root mean square (RMS) delay spread of the sensing channel can be calculated as</w:t>
      </w:r>
    </w:p>
    <w:p w14:paraId="639A1F50">
      <w:pPr>
        <w:pStyle w:val="13"/>
      </w:pPr>
      <w:r>
        <w:tab/>
      </w:r>
      <m:oMath>
        <m:r>
          <m:rPr/>
          <w:rPr>
            <w:rFonts w:ascii="Cambria Math"/>
          </w:rPr>
          <m:t>D</m:t>
        </m:r>
        <m:sSub>
          <m:sSubPr>
            <m:ctrlPr>
              <w:rPr>
                <w:rFonts w:ascii="Cambria Math" w:hAnsi="Cambria Math"/>
                <w:i/>
              </w:rPr>
            </m:ctrlPr>
          </m:sSubPr>
          <m:e>
            <m:r>
              <m:rPr/>
              <w:rPr>
                <w:rFonts w:ascii="Cambria Math"/>
              </w:rPr>
              <m:t>S</m:t>
            </m:r>
            <m:ctrlPr>
              <w:rPr>
                <w:rFonts w:ascii="Cambria Math" w:hAnsi="Cambria Math"/>
                <w:i/>
              </w:rPr>
            </m:ctrlPr>
          </m:e>
          <m:sub>
            <m:r>
              <m:rPr/>
              <w:rPr>
                <w:rFonts w:ascii="Cambria Math"/>
              </w:rPr>
              <m:t>s</m:t>
            </m:r>
            <m:ctrlPr>
              <w:rPr>
                <w:rFonts w:ascii="Cambria Math" w:hAnsi="Cambria Math"/>
                <w:i/>
              </w:rPr>
            </m:ctrlPr>
          </m:sub>
        </m:sSub>
        <m:r>
          <m:rPr/>
          <w:rPr>
            <w:rFonts w:ascii="Cambria Math"/>
          </w:rPr>
          <m:t>=</m:t>
        </m:r>
        <m:rad>
          <m:radPr>
            <m:degHide m:val="1"/>
            <m:ctrlPr>
              <w:rPr>
                <w:rFonts w:ascii="Cambria Math" w:hAnsi="Cambria Math"/>
                <w:i/>
              </w:rPr>
            </m:ctrlPr>
          </m:radPr>
          <m:deg>
            <m:ctrlPr>
              <w:rPr>
                <w:rFonts w:ascii="Cambria Math" w:hAnsi="Cambria Math"/>
                <w:i/>
              </w:rPr>
            </m:ctrlPr>
          </m:deg>
          <m:e>
            <m:f>
              <m:fPr>
                <m:ctrlPr>
                  <w:rPr>
                    <w:rFonts w:ascii="Cambria Math" w:hAnsi="Cambria Math"/>
                    <w:i/>
                  </w:rPr>
                </m:ctrlPr>
              </m:fPr>
              <m:num>
                <m:nary>
                  <m:naryPr>
                    <m:chr m:val="∑"/>
                    <m:supHide m:val="1"/>
                    <m:ctrlPr>
                      <w:rPr>
                        <w:rFonts w:ascii="Cambria Math" w:hAnsi="Cambria Math"/>
                        <w:i/>
                      </w:rPr>
                    </m:ctrlPr>
                  </m:naryPr>
                  <m:sub>
                    <m:r>
                      <m:rPr/>
                      <w:rPr>
                        <w:rFonts w:ascii="Cambria Math"/>
                      </w:rPr>
                      <m:t>l</m:t>
                    </m:r>
                    <m:ctrlPr>
                      <w:rPr>
                        <w:rFonts w:ascii="Cambria Math" w:hAnsi="Cambria Math"/>
                        <w:i/>
                      </w:rPr>
                    </m:ctrlPr>
                  </m:sub>
                  <m:sup>
                    <m:ctrlPr>
                      <w:rPr>
                        <w:rFonts w:ascii="Cambria Math" w:hAnsi="Cambria Math"/>
                        <w:i/>
                      </w:rPr>
                    </m:ctrlP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w:rPr>
                                    <w:rFonts w:ascii="Cambria Math"/>
                                  </w:rPr>
                                  <m:t>α</m:t>
                                </m:r>
                                <m:ctrlPr>
                                  <w:rPr>
                                    <w:rFonts w:ascii="Cambria Math" w:hAnsi="Cambria Math"/>
                                    <w:i/>
                                  </w:rPr>
                                </m:ctrlPr>
                              </m:e>
                              <m:sub>
                                <m:r>
                                  <m:rPr/>
                                  <w:rPr>
                                    <w:rFonts w:ascii="Cambria Math"/>
                                  </w:rPr>
                                  <m:t>s,l</m:t>
                                </m:r>
                                <m:ctrlPr>
                                  <w:rPr>
                                    <w:rFonts w:ascii="Cambria Math" w:hAnsi="Cambria Math"/>
                                    <w:i/>
                                  </w:rPr>
                                </m:ctrlPr>
                              </m:sub>
                            </m:sSub>
                            <m:ctrlPr>
                              <w:rPr>
                                <w:rFonts w:ascii="Cambria Math" w:hAnsi="Cambria Math"/>
                                <w:i/>
                              </w:rPr>
                            </m:ctrlPr>
                          </m:e>
                        </m:d>
                        <m:ctrlPr>
                          <w:rPr>
                            <w:rFonts w:ascii="Cambria Math" w:hAnsi="Cambria Math"/>
                            <w:i/>
                          </w:rPr>
                        </m:ctrlPr>
                      </m:e>
                      <m:sup>
                        <m:r>
                          <m:rPr/>
                          <w:rPr>
                            <w:rFonts w:ascii="Cambria Math"/>
                          </w:rPr>
                          <m:t>2</m:t>
                        </m:r>
                        <m:ctrlPr>
                          <w:rPr>
                            <w:rFonts w:ascii="Cambria Math" w:hAnsi="Cambria Math"/>
                            <w:i/>
                          </w:rPr>
                        </m:ctrlPr>
                      </m:sup>
                    </m:sSup>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m:rPr/>
                                  <w:rPr>
                                    <w:rFonts w:ascii="Cambria Math"/>
                                  </w:rPr>
                                  <m:t>τ</m:t>
                                </m:r>
                                <m:ctrlPr>
                                  <w:rPr>
                                    <w:rFonts w:ascii="Cambria Math" w:hAnsi="Cambria Math"/>
                                    <w:i/>
                                  </w:rPr>
                                </m:ctrlPr>
                              </m:e>
                              <m:sub>
                                <m:r>
                                  <m:rPr/>
                                  <w:rPr>
                                    <w:rFonts w:ascii="Cambria Math"/>
                                  </w:rPr>
                                  <m:t>s,l</m:t>
                                </m:r>
                                <m:ctrlPr>
                                  <w:rPr>
                                    <w:rFonts w:ascii="Cambria Math" w:hAnsi="Cambria Math"/>
                                    <w:i/>
                                  </w:rPr>
                                </m:ctrlPr>
                              </m:sub>
                            </m:sSub>
                            <m:r>
                              <m:rPr/>
                              <w:rPr>
                                <w:rFonts w:ascii="Cambria Math"/>
                              </w:rPr>
                              <m:t>−</m:t>
                            </m:r>
                            <m:sSub>
                              <m:sSubPr>
                                <m:ctrlPr>
                                  <w:rPr>
                                    <w:rFonts w:ascii="Cambria Math" w:hAnsi="Cambria Math"/>
                                    <w:i/>
                                  </w:rPr>
                                </m:ctrlPr>
                              </m:sSubPr>
                              <m:e>
                                <m:r>
                                  <m:rPr/>
                                  <w:rPr>
                                    <w:rFonts w:ascii="Cambria Math"/>
                                  </w:rPr>
                                  <m:t>μ</m:t>
                                </m:r>
                                <m:ctrlPr>
                                  <w:rPr>
                                    <w:rFonts w:ascii="Cambria Math" w:hAnsi="Cambria Math"/>
                                    <w:i/>
                                  </w:rPr>
                                </m:ctrlPr>
                              </m:e>
                              <m:sub>
                                <m:r>
                                  <m:rPr/>
                                  <w:rPr>
                                    <w:rFonts w:ascii="Cambria Math"/>
                                  </w:rPr>
                                  <m:t>s,τ</m:t>
                                </m:r>
                                <m:ctrlPr>
                                  <w:rPr>
                                    <w:rFonts w:ascii="Cambria Math" w:hAnsi="Cambria Math"/>
                                    <w:i/>
                                  </w:rPr>
                                </m:ctrlPr>
                              </m:sub>
                            </m:sSub>
                            <m:ctrlPr>
                              <w:rPr>
                                <w:rFonts w:ascii="Cambria Math" w:hAnsi="Cambria Math"/>
                                <w:i/>
                              </w:rPr>
                            </m:ctrlPr>
                          </m:e>
                        </m:d>
                        <m:ctrlPr>
                          <w:rPr>
                            <w:rFonts w:ascii="Cambria Math" w:hAnsi="Cambria Math"/>
                            <w:i/>
                          </w:rPr>
                        </m:ctrlPr>
                      </m:e>
                      <m:sup>
                        <m:r>
                          <m:rPr/>
                          <w:rPr>
                            <w:rFonts w:ascii="Cambria Math"/>
                          </w:rPr>
                          <m:t>2</m:t>
                        </m:r>
                        <m:ctrlPr>
                          <w:rPr>
                            <w:rFonts w:ascii="Cambria Math" w:hAnsi="Cambria Math"/>
                            <w:i/>
                          </w:rPr>
                        </m:ctrlPr>
                      </m:sup>
                    </m:sSup>
                    <m:ctrlPr>
                      <w:rPr>
                        <w:rFonts w:ascii="Cambria Math" w:hAnsi="Cambria Math"/>
                        <w:i/>
                      </w:rPr>
                    </m:ctrlPr>
                  </m:e>
                </m:nary>
                <m:ctrlPr>
                  <w:rPr>
                    <w:rFonts w:ascii="Cambria Math" w:hAnsi="Cambria Math"/>
                    <w:i/>
                  </w:rPr>
                </m:ctrlPr>
              </m:num>
              <m:den>
                <m:nary>
                  <m:naryPr>
                    <m:chr m:val="∑"/>
                    <m:supHide m:val="1"/>
                    <m:ctrlPr>
                      <w:rPr>
                        <w:rFonts w:ascii="Cambria Math" w:hAnsi="Cambria Math"/>
                        <w:i/>
                      </w:rPr>
                    </m:ctrlPr>
                  </m:naryPr>
                  <m:sub>
                    <m:r>
                      <m:rPr/>
                      <w:rPr>
                        <w:rFonts w:ascii="Cambria Math"/>
                      </w:rPr>
                      <m:t>l</m:t>
                    </m:r>
                    <m:ctrlPr>
                      <w:rPr>
                        <w:rFonts w:ascii="Cambria Math" w:hAnsi="Cambria Math"/>
                        <w:i/>
                      </w:rPr>
                    </m:ctrlPr>
                  </m:sub>
                  <m:sup>
                    <m:ctrlPr>
                      <w:rPr>
                        <w:rFonts w:ascii="Cambria Math" w:hAnsi="Cambria Math"/>
                        <w:i/>
                      </w:rPr>
                    </m:ctrlP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w:rPr>
                                    <w:rFonts w:ascii="Cambria Math"/>
                                  </w:rPr>
                                  <m:t>α</m:t>
                                </m:r>
                                <m:ctrlPr>
                                  <w:rPr>
                                    <w:rFonts w:ascii="Cambria Math" w:hAnsi="Cambria Math"/>
                                    <w:i/>
                                  </w:rPr>
                                </m:ctrlPr>
                              </m:e>
                              <m:sub>
                                <m:r>
                                  <m:rPr/>
                                  <w:rPr>
                                    <w:rFonts w:ascii="Cambria Math"/>
                                  </w:rPr>
                                  <m:t>s,l</m:t>
                                </m:r>
                                <m:ctrlPr>
                                  <w:rPr>
                                    <w:rFonts w:ascii="Cambria Math" w:hAnsi="Cambria Math"/>
                                    <w:i/>
                                  </w:rPr>
                                </m:ctrlPr>
                              </m:sub>
                            </m:sSub>
                            <m:ctrlPr>
                              <w:rPr>
                                <w:rFonts w:ascii="Cambria Math" w:hAnsi="Cambria Math"/>
                                <w:i/>
                              </w:rPr>
                            </m:ctrlPr>
                          </m:e>
                        </m:d>
                        <m:ctrlPr>
                          <w:rPr>
                            <w:rFonts w:ascii="Cambria Math" w:hAnsi="Cambria Math"/>
                            <w:i/>
                          </w:rPr>
                        </m:ctrlPr>
                      </m:e>
                      <m:sup>
                        <m:r>
                          <m:rPr/>
                          <w:rPr>
                            <w:rFonts w:ascii="Cambria Math"/>
                          </w:rPr>
                          <m:t>2</m:t>
                        </m:r>
                        <m:ctrlPr>
                          <w:rPr>
                            <w:rFonts w:ascii="Cambria Math" w:hAnsi="Cambria Math"/>
                            <w:i/>
                          </w:rPr>
                        </m:ctrlPr>
                      </m:sup>
                    </m:sSup>
                    <m:ctrlPr>
                      <w:rPr>
                        <w:rFonts w:ascii="Cambria Math" w:hAnsi="Cambria Math"/>
                        <w:i/>
                      </w:rPr>
                    </m:ctrlPr>
                  </m:e>
                </m:nary>
                <m:ctrlPr>
                  <w:rPr>
                    <w:rFonts w:ascii="Cambria Math" w:hAnsi="Cambria Math"/>
                    <w:i/>
                  </w:rPr>
                </m:ctrlPr>
              </m:den>
            </m:f>
            <m:ctrlPr>
              <w:rPr>
                <w:rFonts w:ascii="Cambria Math" w:hAnsi="Cambria Math"/>
                <w:i/>
              </w:rPr>
            </m:ctrlPr>
          </m:e>
        </m:rad>
      </m:oMath>
      <w:r>
        <w:tab/>
      </w:r>
      <w:r>
        <w:fldChar w:fldCharType="begin"/>
      </w:r>
      <w:r>
        <w:instrText xml:space="preserve"> MACROBUTTON MTPlaceRef \* MERGEFORMAT </w:instrText>
      </w:r>
      <w:r>
        <w:fldChar w:fldCharType="begin"/>
      </w:r>
      <w:r>
        <w:instrText xml:space="preserve"> SEQ MTEqn \h \* MERGEFORMAT </w:instrText>
      </w:r>
      <w:r>
        <w:fldChar w:fldCharType="end"/>
      </w:r>
      <w:r>
        <w:instrText xml:space="preserve">(</w:instrText>
      </w:r>
      <w:r>
        <w:fldChar w:fldCharType="begin"/>
      </w:r>
      <w:r>
        <w:instrText xml:space="preserve"> SEQ MTSec \c \* Arabic \* MERGEFORMAT </w:instrText>
      </w:r>
      <w:r>
        <w:fldChar w:fldCharType="separate"/>
      </w:r>
      <w:r>
        <w:instrText xml:space="preserve">2</w:instrText>
      </w:r>
      <w:r>
        <w:fldChar w:fldCharType="end"/>
      </w:r>
      <w:r>
        <w:instrText xml:space="preserve">.</w:instrText>
      </w:r>
      <w:r>
        <w:fldChar w:fldCharType="begin"/>
      </w:r>
      <w:r>
        <w:instrText xml:space="preserve"> SEQ MTEqn \c \* Arabic \* MERGEFORMAT </w:instrText>
      </w:r>
      <w:r>
        <w:fldChar w:fldCharType="separate"/>
      </w:r>
      <w:r>
        <w:instrText xml:space="preserve">6</w:instrText>
      </w:r>
      <w:r>
        <w:fldChar w:fldCharType="end"/>
      </w:r>
      <w:r>
        <w:instrText xml:space="preserve">)</w:instrText>
      </w:r>
      <w:r>
        <w:fldChar w:fldCharType="end"/>
      </w:r>
    </w:p>
    <w:p w14:paraId="6D421FA1">
      <w:pPr>
        <w:pStyle w:val="13"/>
      </w:pPr>
      <w:r>
        <w:tab/>
      </w:r>
      <m:oMath>
        <m:sSub>
          <m:sSubPr>
            <m:ctrlPr>
              <w:rPr>
                <w:rFonts w:ascii="Cambria Math" w:hAnsi="Cambria Math"/>
                <w:i/>
              </w:rPr>
            </m:ctrlPr>
          </m:sSubPr>
          <m:e>
            <m:r>
              <m:rPr/>
              <w:rPr>
                <w:rFonts w:ascii="Cambria Math"/>
              </w:rPr>
              <m:t>μ</m:t>
            </m:r>
            <m:ctrlPr>
              <w:rPr>
                <w:rFonts w:ascii="Cambria Math" w:hAnsi="Cambria Math"/>
                <w:i/>
              </w:rPr>
            </m:ctrlPr>
          </m:e>
          <m:sub>
            <m:r>
              <m:rPr/>
              <w:rPr>
                <w:rFonts w:ascii="Cambria Math"/>
              </w:rPr>
              <m:t>s,τ</m:t>
            </m:r>
            <m:ctrlPr>
              <w:rPr>
                <w:rFonts w:ascii="Cambria Math" w:hAnsi="Cambria Math"/>
                <w:i/>
              </w:rPr>
            </m:ctrlPr>
          </m:sub>
        </m:sSub>
        <m:r>
          <m:rPr/>
          <w:rPr>
            <w:rFonts w:ascii="Cambria Math"/>
          </w:rPr>
          <m:t>=</m:t>
        </m:r>
        <m:f>
          <m:fPr>
            <m:ctrlPr>
              <w:rPr>
                <w:rFonts w:ascii="Cambria Math" w:hAnsi="Cambria Math"/>
                <w:i/>
              </w:rPr>
            </m:ctrlPr>
          </m:fPr>
          <m:num>
            <m:nary>
              <m:naryPr>
                <m:chr m:val="∑"/>
                <m:supHide m:val="1"/>
                <m:ctrlPr>
                  <w:rPr>
                    <w:rFonts w:ascii="Cambria Math" w:hAnsi="Cambria Math"/>
                    <w:i/>
                  </w:rPr>
                </m:ctrlPr>
              </m:naryPr>
              <m:sub>
                <m:r>
                  <m:rPr/>
                  <w:rPr>
                    <w:rFonts w:ascii="Cambria Math"/>
                  </w:rPr>
                  <m:t>l</m:t>
                </m:r>
                <m:ctrlPr>
                  <w:rPr>
                    <w:rFonts w:ascii="Cambria Math" w:hAnsi="Cambria Math"/>
                    <w:i/>
                  </w:rPr>
                </m:ctrlPr>
              </m:sub>
              <m:sup>
                <m:ctrlPr>
                  <w:rPr>
                    <w:rFonts w:ascii="Cambria Math" w:hAnsi="Cambria Math"/>
                    <w:i/>
                  </w:rPr>
                </m:ctrlP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w:rPr>
                                <w:rFonts w:ascii="Cambria Math"/>
                              </w:rPr>
                              <m:t>α</m:t>
                            </m:r>
                            <m:ctrlPr>
                              <w:rPr>
                                <w:rFonts w:ascii="Cambria Math" w:hAnsi="Cambria Math"/>
                                <w:i/>
                              </w:rPr>
                            </m:ctrlPr>
                          </m:e>
                          <m:sub>
                            <m:r>
                              <m:rPr/>
                              <w:rPr>
                                <w:rFonts w:ascii="Cambria Math"/>
                              </w:rPr>
                              <m:t>s,l</m:t>
                            </m:r>
                            <m:ctrlPr>
                              <w:rPr>
                                <w:rFonts w:ascii="Cambria Math" w:hAnsi="Cambria Math"/>
                                <w:i/>
                              </w:rPr>
                            </m:ctrlPr>
                          </m:sub>
                        </m:sSub>
                        <m:ctrlPr>
                          <w:rPr>
                            <w:rFonts w:ascii="Cambria Math" w:hAnsi="Cambria Math"/>
                            <w:i/>
                          </w:rPr>
                        </m:ctrlPr>
                      </m:e>
                    </m:d>
                    <m:ctrlPr>
                      <w:rPr>
                        <w:rFonts w:ascii="Cambria Math" w:hAnsi="Cambria Math"/>
                        <w:i/>
                      </w:rPr>
                    </m:ctrlPr>
                  </m:e>
                  <m:sup>
                    <m:r>
                      <m:rPr/>
                      <w:rPr>
                        <w:rFonts w:ascii="Cambria Math"/>
                      </w:rPr>
                      <m:t>2</m:t>
                    </m:r>
                    <m:ctrlPr>
                      <w:rPr>
                        <w:rFonts w:ascii="Cambria Math" w:hAnsi="Cambria Math"/>
                        <w:i/>
                      </w:rPr>
                    </m:ctrlPr>
                  </m:sup>
                </m:sSup>
                <m:sSub>
                  <m:sSubPr>
                    <m:ctrlPr>
                      <w:rPr>
                        <w:rFonts w:ascii="Cambria Math" w:hAnsi="Cambria Math"/>
                        <w:i/>
                      </w:rPr>
                    </m:ctrlPr>
                  </m:sSubPr>
                  <m:e>
                    <m:r>
                      <m:rPr/>
                      <w:rPr>
                        <w:rFonts w:ascii="Cambria Math"/>
                      </w:rPr>
                      <m:t>τ</m:t>
                    </m:r>
                    <m:ctrlPr>
                      <w:rPr>
                        <w:rFonts w:ascii="Cambria Math" w:hAnsi="Cambria Math"/>
                        <w:i/>
                      </w:rPr>
                    </m:ctrlPr>
                  </m:e>
                  <m:sub>
                    <m:r>
                      <m:rPr/>
                      <w:rPr>
                        <w:rFonts w:ascii="Cambria Math"/>
                      </w:rPr>
                      <m:t>s,l</m:t>
                    </m:r>
                    <m:ctrlPr>
                      <w:rPr>
                        <w:rFonts w:ascii="Cambria Math" w:hAnsi="Cambria Math"/>
                        <w:i/>
                      </w:rPr>
                    </m:ctrlPr>
                  </m:sub>
                </m:sSub>
                <m:ctrlPr>
                  <w:rPr>
                    <w:rFonts w:ascii="Cambria Math" w:hAnsi="Cambria Math"/>
                    <w:i/>
                  </w:rPr>
                </m:ctrlPr>
              </m:e>
            </m:nary>
            <m:ctrlPr>
              <w:rPr>
                <w:rFonts w:ascii="Cambria Math" w:hAnsi="Cambria Math"/>
                <w:i/>
              </w:rPr>
            </m:ctrlPr>
          </m:num>
          <m:den>
            <m:nary>
              <m:naryPr>
                <m:chr m:val="∑"/>
                <m:supHide m:val="1"/>
                <m:ctrlPr>
                  <w:rPr>
                    <w:rFonts w:ascii="Cambria Math" w:hAnsi="Cambria Math"/>
                    <w:i/>
                  </w:rPr>
                </m:ctrlPr>
              </m:naryPr>
              <m:sub>
                <m:r>
                  <m:rPr/>
                  <w:rPr>
                    <w:rFonts w:ascii="Cambria Math"/>
                  </w:rPr>
                  <m:t>l</m:t>
                </m:r>
                <m:ctrlPr>
                  <w:rPr>
                    <w:rFonts w:ascii="Cambria Math" w:hAnsi="Cambria Math"/>
                    <w:i/>
                  </w:rPr>
                </m:ctrlPr>
              </m:sub>
              <m:sup>
                <m:ctrlPr>
                  <w:rPr>
                    <w:rFonts w:ascii="Cambria Math" w:hAnsi="Cambria Math"/>
                    <w:i/>
                  </w:rPr>
                </m:ctrlP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w:rPr>
                                <w:rFonts w:ascii="Cambria Math"/>
                              </w:rPr>
                              <m:t>α</m:t>
                            </m:r>
                            <m:ctrlPr>
                              <w:rPr>
                                <w:rFonts w:ascii="Cambria Math" w:hAnsi="Cambria Math"/>
                                <w:i/>
                              </w:rPr>
                            </m:ctrlPr>
                          </m:e>
                          <m:sub>
                            <m:r>
                              <m:rPr/>
                              <w:rPr>
                                <w:rFonts w:ascii="Cambria Math"/>
                              </w:rPr>
                              <m:t>s,l</m:t>
                            </m:r>
                            <m:ctrlPr>
                              <w:rPr>
                                <w:rFonts w:ascii="Cambria Math" w:hAnsi="Cambria Math"/>
                                <w:i/>
                              </w:rPr>
                            </m:ctrlPr>
                          </m:sub>
                        </m:sSub>
                        <m:ctrlPr>
                          <w:rPr>
                            <w:rFonts w:ascii="Cambria Math" w:hAnsi="Cambria Math"/>
                            <w:i/>
                          </w:rPr>
                        </m:ctrlPr>
                      </m:e>
                    </m:d>
                    <m:ctrlPr>
                      <w:rPr>
                        <w:rFonts w:ascii="Cambria Math" w:hAnsi="Cambria Math"/>
                        <w:i/>
                      </w:rPr>
                    </m:ctrlPr>
                  </m:e>
                  <m:sup>
                    <m:r>
                      <m:rPr/>
                      <w:rPr>
                        <w:rFonts w:ascii="Cambria Math"/>
                      </w:rPr>
                      <m:t>2</m:t>
                    </m:r>
                    <m:ctrlPr>
                      <w:rPr>
                        <w:rFonts w:ascii="Cambria Math" w:hAnsi="Cambria Math"/>
                        <w:i/>
                      </w:rPr>
                    </m:ctrlPr>
                  </m:sup>
                </m:sSup>
                <m:ctrlPr>
                  <w:rPr>
                    <w:rFonts w:ascii="Cambria Math" w:hAnsi="Cambria Math"/>
                    <w:i/>
                  </w:rPr>
                </m:ctrlPr>
              </m:e>
            </m:nary>
            <m:ctrlPr>
              <w:rPr>
                <w:rFonts w:ascii="Cambria Math" w:hAnsi="Cambria Math"/>
                <w:i/>
              </w:rPr>
            </m:ctrlPr>
          </m:den>
        </m:f>
      </m:oMath>
      <w:r>
        <w:tab/>
      </w:r>
      <w:r>
        <w:fldChar w:fldCharType="begin"/>
      </w:r>
      <w:r>
        <w:instrText xml:space="preserve"> MACROBUTTON MTPlaceRef \* MERGEFORMAT </w:instrText>
      </w:r>
      <w:r>
        <w:fldChar w:fldCharType="begin"/>
      </w:r>
      <w:r>
        <w:instrText xml:space="preserve"> SEQ MTEqn \h \* MERGEFORMAT </w:instrText>
      </w:r>
      <w:r>
        <w:fldChar w:fldCharType="end"/>
      </w:r>
      <w:r>
        <w:instrText xml:space="preserve">(</w:instrText>
      </w:r>
      <w:r>
        <w:fldChar w:fldCharType="begin"/>
      </w:r>
      <w:r>
        <w:instrText xml:space="preserve"> SEQ MTSec \c \* Arabic \* MERGEFORMAT </w:instrText>
      </w:r>
      <w:r>
        <w:fldChar w:fldCharType="separate"/>
      </w:r>
      <w:r>
        <w:instrText xml:space="preserve">2</w:instrText>
      </w:r>
      <w:r>
        <w:fldChar w:fldCharType="end"/>
      </w:r>
      <w:r>
        <w:instrText xml:space="preserve">.</w:instrText>
      </w:r>
      <w:r>
        <w:fldChar w:fldCharType="begin"/>
      </w:r>
      <w:r>
        <w:instrText xml:space="preserve"> SEQ MTEqn \c \* Arabic \* MERGEFORMAT </w:instrText>
      </w:r>
      <w:r>
        <w:fldChar w:fldCharType="separate"/>
      </w:r>
      <w:r>
        <w:instrText xml:space="preserve">7</w:instrText>
      </w:r>
      <w:r>
        <w:fldChar w:fldCharType="end"/>
      </w:r>
      <w:r>
        <w:instrText xml:space="preserve">)</w:instrText>
      </w:r>
      <w:r>
        <w:fldChar w:fldCharType="end"/>
      </w:r>
    </w:p>
    <w:p w14:paraId="05514F49">
      <w:pPr>
        <w:jc w:val="both"/>
      </w:pPr>
      <w:r>
        <w:rPr>
          <w:rFonts w:hint="eastAsia"/>
        </w:rPr>
        <w:t xml:space="preserve">Replacing </w:t>
      </w:r>
      <m:oMath>
        <m:sSub>
          <m:sSubPr>
            <m:ctrlPr>
              <w:rPr>
                <w:rFonts w:ascii="Cambria Math" w:hAnsi="Cambria Math"/>
                <w:i/>
              </w:rPr>
            </m:ctrlPr>
          </m:sSubPr>
          <m:e>
            <m:r>
              <m:rPr/>
              <w:rPr>
                <w:rFonts w:ascii="Cambria Math"/>
              </w:rPr>
              <m:t>τ</m:t>
            </m:r>
            <m:ctrlPr>
              <w:rPr>
                <w:rFonts w:ascii="Cambria Math" w:hAnsi="Cambria Math"/>
                <w:i/>
              </w:rPr>
            </m:ctrlPr>
          </m:e>
          <m:sub>
            <m:r>
              <m:rPr/>
              <w:rPr>
                <w:rFonts w:ascii="Cambria Math"/>
              </w:rPr>
              <m:t>s,l</m:t>
            </m:r>
            <m:ctrlPr>
              <w:rPr>
                <w:rFonts w:ascii="Cambria Math" w:hAnsi="Cambria Math"/>
                <w:i/>
              </w:rPr>
            </m:ctrlPr>
          </m:sub>
        </m:sSub>
      </m:oMath>
      <w:r>
        <w:rPr>
          <w:rFonts w:hint="eastAsia"/>
        </w:rPr>
        <w:t xml:space="preserve"> with </w:t>
      </w:r>
      <m:oMath>
        <m:sSubSup>
          <m:sSubSupPr>
            <m:ctrlPr>
              <w:rPr>
                <w:rFonts w:ascii="Cambria Math" w:hAnsi="Cambria Math"/>
                <w:i/>
              </w:rPr>
            </m:ctrlPr>
          </m:sSubSupPr>
          <m:e>
            <m:r>
              <m:rPr/>
              <w:rPr>
                <w:rFonts w:ascii="Cambria Math"/>
              </w:rPr>
              <m:t>ϕ</m:t>
            </m:r>
            <m:ctrlPr>
              <w:rPr>
                <w:rFonts w:ascii="Cambria Math" w:hAnsi="Cambria Math"/>
                <w:i/>
              </w:rPr>
            </m:ctrlPr>
          </m:e>
          <m:sub>
            <m:r>
              <m:rPr/>
              <w:rPr>
                <w:rFonts w:ascii="Cambria Math"/>
              </w:rPr>
              <m:t>s,T,l</m:t>
            </m:r>
            <m:ctrlPr>
              <w:rPr>
                <w:rFonts w:ascii="Cambria Math" w:hAnsi="Cambria Math"/>
                <w:i/>
              </w:rPr>
            </m:ctrlPr>
          </m:sub>
          <m:sup>
            <m:r>
              <m:rPr/>
              <w:rPr>
                <w:rFonts w:ascii="Cambria Math"/>
              </w:rPr>
              <m:t>A</m:t>
            </m:r>
            <m:ctrlPr>
              <w:rPr>
                <w:rFonts w:ascii="Cambria Math" w:hAnsi="Cambria Math"/>
                <w:i/>
              </w:rPr>
            </m:ctrlPr>
          </m:sup>
        </m:sSubSup>
        <m:r>
          <m:rPr/>
          <w:rPr>
            <w:rFonts w:ascii="Cambria Math"/>
          </w:rPr>
          <m:t>,</m:t>
        </m:r>
        <m:sSubSup>
          <m:sSubSupPr>
            <m:ctrlPr>
              <w:rPr>
                <w:rFonts w:ascii="Cambria Math" w:hAnsi="Cambria Math"/>
                <w:i/>
              </w:rPr>
            </m:ctrlPr>
          </m:sSubSupPr>
          <m:e>
            <m:r>
              <m:rPr/>
              <w:rPr>
                <w:rFonts w:ascii="Cambria Math"/>
              </w:rPr>
              <m:t>ϕ</m:t>
            </m:r>
            <m:ctrlPr>
              <w:rPr>
                <w:rFonts w:ascii="Cambria Math" w:hAnsi="Cambria Math"/>
                <w:i/>
              </w:rPr>
            </m:ctrlPr>
          </m:e>
          <m:sub>
            <m:r>
              <m:rPr/>
              <w:rPr>
                <w:rFonts w:ascii="Cambria Math"/>
              </w:rPr>
              <m:t>s,T,l</m:t>
            </m:r>
            <m:ctrlPr>
              <w:rPr>
                <w:rFonts w:ascii="Cambria Math" w:hAnsi="Cambria Math"/>
                <w:i/>
              </w:rPr>
            </m:ctrlPr>
          </m:sub>
          <m:sup>
            <m:r>
              <m:rPr/>
              <w:rPr>
                <w:rFonts w:ascii="Cambria Math"/>
              </w:rPr>
              <m:t>E</m:t>
            </m:r>
            <m:ctrlPr>
              <w:rPr>
                <w:rFonts w:ascii="Cambria Math" w:hAnsi="Cambria Math"/>
                <w:i/>
              </w:rPr>
            </m:ctrlPr>
          </m:sup>
        </m:sSubSup>
        <m:r>
          <m:rPr/>
          <w:rPr>
            <w:rFonts w:ascii="Cambria Math"/>
          </w:rPr>
          <m:t>,</m:t>
        </m:r>
        <m:sSubSup>
          <m:sSubSupPr>
            <m:ctrlPr>
              <w:rPr>
                <w:rFonts w:ascii="Cambria Math" w:hAnsi="Cambria Math"/>
                <w:i/>
              </w:rPr>
            </m:ctrlPr>
          </m:sSubSupPr>
          <m:e>
            <m:r>
              <m:rPr/>
              <w:rPr>
                <w:rFonts w:ascii="Cambria Math"/>
              </w:rPr>
              <m:t>ϕ</m:t>
            </m:r>
            <m:ctrlPr>
              <w:rPr>
                <w:rFonts w:ascii="Cambria Math" w:hAnsi="Cambria Math"/>
                <w:i/>
              </w:rPr>
            </m:ctrlPr>
          </m:e>
          <m:sub>
            <m:r>
              <m:rPr/>
              <w:rPr>
                <w:rFonts w:ascii="Cambria Math"/>
              </w:rPr>
              <m:t>s,R,l</m:t>
            </m:r>
            <m:ctrlPr>
              <w:rPr>
                <w:rFonts w:ascii="Cambria Math" w:hAnsi="Cambria Math"/>
                <w:i/>
              </w:rPr>
            </m:ctrlPr>
          </m:sub>
          <m:sup>
            <m:r>
              <m:rPr/>
              <w:rPr>
                <w:rFonts w:ascii="Cambria Math"/>
              </w:rPr>
              <m:t>A</m:t>
            </m:r>
            <m:ctrlPr>
              <w:rPr>
                <w:rFonts w:ascii="Cambria Math" w:hAnsi="Cambria Math"/>
                <w:i/>
              </w:rPr>
            </m:ctrlPr>
          </m:sup>
        </m:sSubSup>
      </m:oMath>
      <w:r>
        <w:rPr>
          <w:rFonts w:hint="eastAsia"/>
        </w:rPr>
        <w:t xml:space="preserve">, and </w:t>
      </w:r>
      <m:oMath>
        <m:sSubSup>
          <m:sSubSupPr>
            <m:ctrlPr>
              <w:rPr>
                <w:rFonts w:ascii="Cambria Math" w:hAnsi="Cambria Math"/>
                <w:i/>
              </w:rPr>
            </m:ctrlPr>
          </m:sSubSupPr>
          <m:e>
            <m:r>
              <m:rPr/>
              <w:rPr>
                <w:rFonts w:ascii="Cambria Math"/>
              </w:rPr>
              <m:t>ϕ</m:t>
            </m:r>
            <m:ctrlPr>
              <w:rPr>
                <w:rFonts w:ascii="Cambria Math" w:hAnsi="Cambria Math"/>
                <w:i/>
              </w:rPr>
            </m:ctrlPr>
          </m:e>
          <m:sub>
            <m:r>
              <m:rPr/>
              <w:rPr>
                <w:rFonts w:ascii="Cambria Math"/>
              </w:rPr>
              <m:t>s,R,l</m:t>
            </m:r>
            <m:ctrlPr>
              <w:rPr>
                <w:rFonts w:ascii="Cambria Math" w:hAnsi="Cambria Math"/>
                <w:i/>
              </w:rPr>
            </m:ctrlPr>
          </m:sub>
          <m:sup>
            <m:r>
              <m:rPr/>
              <w:rPr>
                <w:rFonts w:ascii="Cambria Math"/>
              </w:rPr>
              <m:t>E</m:t>
            </m:r>
            <m:ctrlPr>
              <w:rPr>
                <w:rFonts w:ascii="Cambria Math" w:hAnsi="Cambria Math"/>
                <w:i/>
              </w:rPr>
            </m:ctrlPr>
          </m:sup>
        </m:sSubSup>
      </m:oMath>
      <w:r>
        <w:rPr>
          <w:rFonts w:hint="eastAsia"/>
        </w:rPr>
        <w:t xml:space="preserve"> can obtain</w:t>
      </w:r>
      <w:r>
        <w:t xml:space="preserve"> </w:t>
      </w:r>
      <w:r>
        <w:rPr>
          <w:rFonts w:hint="eastAsia"/>
        </w:rPr>
        <w:t>the angular spreads for AAoD, EAoD, azimuth</w:t>
      </w:r>
      <w:r>
        <w:t xml:space="preserve"> </w:t>
      </w:r>
      <w:r>
        <w:rPr>
          <w:rFonts w:hint="eastAsia"/>
        </w:rPr>
        <w:t>angle</w:t>
      </w:r>
      <w:r>
        <w:t xml:space="preserve"> </w:t>
      </w:r>
      <w:r>
        <w:rPr>
          <w:rFonts w:hint="eastAsia"/>
        </w:rPr>
        <w:t>of</w:t>
      </w:r>
      <w:r>
        <w:t xml:space="preserve"> </w:t>
      </w:r>
      <w:r>
        <w:rPr>
          <w:rFonts w:hint="eastAsia"/>
        </w:rPr>
        <w:t>arrival</w:t>
      </w:r>
      <w:r>
        <w:t xml:space="preserve"> (</w:t>
      </w:r>
      <w:r>
        <w:rPr>
          <w:rFonts w:hint="eastAsia"/>
        </w:rPr>
        <w:t>AAoA</w:t>
      </w:r>
      <w:r>
        <w:t>)</w:t>
      </w:r>
      <w:r>
        <w:rPr>
          <w:rFonts w:hint="eastAsia"/>
        </w:rPr>
        <w:t>, and elevation</w:t>
      </w:r>
      <w:r>
        <w:t xml:space="preserve"> </w:t>
      </w:r>
      <w:r>
        <w:rPr>
          <w:rFonts w:hint="eastAsia"/>
        </w:rPr>
        <w:t>angle</w:t>
      </w:r>
      <w:r>
        <w:t xml:space="preserve"> </w:t>
      </w:r>
      <w:r>
        <w:rPr>
          <w:rFonts w:hint="eastAsia"/>
        </w:rPr>
        <w:t>of</w:t>
      </w:r>
      <w:r>
        <w:t xml:space="preserve"> </w:t>
      </w:r>
      <w:r>
        <w:rPr>
          <w:rFonts w:hint="eastAsia"/>
        </w:rPr>
        <w:t>arrival</w:t>
      </w:r>
      <w:r>
        <w:t xml:space="preserve"> (</w:t>
      </w:r>
      <w:r>
        <w:rPr>
          <w:rFonts w:hint="eastAsia"/>
        </w:rPr>
        <w:t>EAoA</w:t>
      </w:r>
      <w:r>
        <w:t>)</w:t>
      </w:r>
      <w:r>
        <w:rPr>
          <w:rFonts w:hint="eastAsia"/>
        </w:rPr>
        <w:t>.</w:t>
      </w:r>
    </w:p>
    <w:p w14:paraId="29BC5D32">
      <w:pPr>
        <w:jc w:val="center"/>
      </w:pPr>
      <w:r>
        <w:drawing>
          <wp:inline distT="0" distB="0" distL="0" distR="0">
            <wp:extent cx="2235200" cy="17907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258055" cy="1808673"/>
                    </a:xfrm>
                    <a:prstGeom prst="rect">
                      <a:avLst/>
                    </a:prstGeom>
                    <a:noFill/>
                    <a:ln>
                      <a:noFill/>
                    </a:ln>
                  </pic:spPr>
                </pic:pic>
              </a:graphicData>
            </a:graphic>
          </wp:inline>
        </w:drawing>
      </w:r>
      <w:r>
        <w:drawing>
          <wp:inline distT="0" distB="0" distL="0" distR="0">
            <wp:extent cx="2277110" cy="1824355"/>
            <wp:effectExtent l="0" t="0" r="0" b="444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284833" cy="1830122"/>
                    </a:xfrm>
                    <a:prstGeom prst="rect">
                      <a:avLst/>
                    </a:prstGeom>
                    <a:noFill/>
                    <a:ln>
                      <a:noFill/>
                    </a:ln>
                  </pic:spPr>
                </pic:pic>
              </a:graphicData>
            </a:graphic>
          </wp:inline>
        </w:drawing>
      </w:r>
    </w:p>
    <w:p w14:paraId="684FE664">
      <w:pPr>
        <w:jc w:val="center"/>
      </w:pPr>
      <w:r>
        <w:t>Fig. 5. (a) Delay spread and (b) angular spread of communication and sensing channels.</w:t>
      </w:r>
    </w:p>
    <w:p w14:paraId="2DA7A534">
      <w:pPr>
        <w:ind w:firstLine="480" w:firstLineChars="200"/>
        <w:jc w:val="both"/>
      </w:pPr>
    </w:p>
    <w:p w14:paraId="0B126D8F">
      <w:pPr>
        <w:ind w:firstLine="360" w:firstLineChars="150"/>
        <w:jc w:val="both"/>
        <w:rPr>
          <w:rFonts w:eastAsia="等线"/>
          <w:sz w:val="21"/>
          <w:szCs w:val="21"/>
        </w:rPr>
      </w:pPr>
      <w:r>
        <w:t>It is clearly indicated that the sensing channel exhibits a higher degree of inter-cluster delay spread compared to the communication channel, demonstrating that the cluster distribution of the sensing channel in the time domain is more dispersed than that of the communication channel. In addition, the delay spread of the communication channel in NLoS environment is significantly larger than that in LoS environment, because multipath is more abundant and experiences larger delay in NLoS environment.</w:t>
      </w:r>
      <w:r>
        <w:rPr>
          <w:rFonts w:hint="eastAsia"/>
        </w:rPr>
        <w:t xml:space="preserve"> </w:t>
      </w:r>
      <w:r>
        <w:t>In addition, t</w:t>
      </w:r>
      <w:r>
        <w:rPr>
          <w:rFonts w:hint="eastAsia"/>
        </w:rPr>
        <w:t xml:space="preserve">he sensing channel has a larger inter-cluster angular spread in azimuth and elevation directions compared to </w:t>
      </w:r>
      <w:r>
        <w:t xml:space="preserve">that of </w:t>
      </w:r>
      <w:r>
        <w:rPr>
          <w:rFonts w:hint="eastAsia"/>
        </w:rPr>
        <w:t>the communication channel, indicating that the distribution of sensing channel clusters is more dispersed in the angle domain.</w:t>
      </w:r>
    </w:p>
    <w:p w14:paraId="67D2ADEE">
      <w:pPr>
        <w:ind w:firstLine="480" w:firstLineChars="200"/>
        <w:jc w:val="both"/>
      </w:pPr>
    </w:p>
    <w:p w14:paraId="3B7EDDA1">
      <w:pPr>
        <w:jc w:val="both"/>
        <w:rPr>
          <w:sz w:val="24"/>
          <w:szCs w:val="24"/>
        </w:rPr>
      </w:pPr>
      <w:r>
        <w:rPr>
          <w:rFonts w:hint="eastAsia"/>
          <w:b/>
          <w:bCs/>
          <w:i/>
          <w:iCs/>
          <w:sz w:val="24"/>
          <w:szCs w:val="24"/>
          <w:u w:val="single"/>
        </w:rPr>
        <w:t xml:space="preserve">Observation </w:t>
      </w:r>
      <w:r>
        <w:rPr>
          <w:b/>
          <w:bCs/>
          <w:i/>
          <w:iCs/>
          <w:sz w:val="24"/>
          <w:szCs w:val="24"/>
          <w:u w:val="single"/>
        </w:rPr>
        <w:t>4</w:t>
      </w:r>
      <w:r>
        <w:rPr>
          <w:rFonts w:hint="eastAsia"/>
          <w:b/>
          <w:bCs/>
          <w:i/>
          <w:iCs/>
          <w:sz w:val="24"/>
          <w:szCs w:val="24"/>
          <w:u w:val="none"/>
        </w:rPr>
        <w:t>:</w:t>
      </w:r>
      <w:r>
        <w:rPr>
          <w:rFonts w:hint="eastAsia"/>
          <w:i/>
          <w:iCs/>
          <w:sz w:val="24"/>
          <w:szCs w:val="24"/>
          <w:u w:val="none"/>
        </w:rPr>
        <w:t xml:space="preserve"> </w:t>
      </w:r>
      <w:r>
        <w:rPr>
          <w:i/>
          <w:iCs/>
          <w:sz w:val="24"/>
          <w:szCs w:val="24"/>
        </w:rPr>
        <w:t>The cluster distribution of the sensing channel in the time and angle domains is more dispersed than that of the communication channel.</w:t>
      </w:r>
    </w:p>
    <w:p w14:paraId="22188AED">
      <w:pPr>
        <w:jc w:val="both"/>
        <w:rPr>
          <w:sz w:val="24"/>
          <w:szCs w:val="24"/>
        </w:rPr>
      </w:pPr>
    </w:p>
    <w:p w14:paraId="3B08AB80">
      <w:pPr>
        <w:spacing w:before="120" w:after="120"/>
        <w:jc w:val="both"/>
        <w:rPr>
          <w:rFonts w:hint="default" w:ascii="Times New Roman Italic" w:hAnsi="Times New Roman Italic" w:cs="Times New Roman Italic"/>
          <w:b w:val="0"/>
          <w:bCs/>
          <w:i/>
        </w:rPr>
      </w:pPr>
      <w:r>
        <w:rPr>
          <w:b/>
          <w:i/>
          <w:u w:val="single"/>
        </w:rPr>
        <w:t>Proposal 3</w:t>
      </w:r>
      <w:r>
        <w:rPr>
          <w:b/>
          <w:i/>
          <w:u w:val="none"/>
        </w:rPr>
        <w:t xml:space="preserve">: </w:t>
      </w:r>
      <w:r>
        <w:rPr>
          <w:rFonts w:hint="default" w:ascii="Times New Roman Italic" w:hAnsi="Times New Roman Italic" w:cs="Times New Roman Italic"/>
          <w:b w:val="0"/>
          <w:bCs/>
          <w:i/>
        </w:rPr>
        <w:t>When modeling ISAC channels, the characteristic that sensing channel and communication channel have different inter-cluster spreads needs to be considered.</w:t>
      </w:r>
    </w:p>
    <w:p w14:paraId="6ABEF6A3">
      <w:pPr>
        <w:jc w:val="both"/>
        <w:rPr>
          <w:rFonts w:hint="default" w:ascii="Times New Roman Italic" w:hAnsi="Times New Roman Italic" w:cs="Times New Roman Italic"/>
          <w:b w:val="0"/>
          <w:bCs/>
        </w:rPr>
      </w:pPr>
    </w:p>
    <w:p w14:paraId="7C008D04">
      <w:pPr>
        <w:pStyle w:val="10"/>
        <w:numPr>
          <w:numId w:val="0"/>
        </w:numPr>
        <w:jc w:val="both"/>
      </w:pPr>
      <w:r>
        <w:rPr>
          <w:rFonts w:hint="default"/>
          <w:lang w:val="en-US"/>
        </w:rPr>
        <w:t xml:space="preserve">2.2.5 </w:t>
      </w:r>
      <w:r>
        <w:t>C</w:t>
      </w:r>
      <w:r>
        <w:rPr>
          <w:rFonts w:hint="eastAsia"/>
        </w:rPr>
        <w:t>oherence</w:t>
      </w:r>
      <w:r>
        <w:t xml:space="preserve"> time</w:t>
      </w:r>
    </w:p>
    <w:p w14:paraId="3C2EBFED">
      <w:pPr>
        <w:ind w:firstLine="480" w:firstLineChars="200"/>
        <w:jc w:val="both"/>
      </w:pPr>
      <w:r>
        <w:t>The coherence time is a crucial factor in determining whether the channel is time-selective fading. We obtained the coherence times of the monostatic sensing channel and the communication (bistatic sensing) channel, and compared the them. The results are as follows</w:t>
      </w:r>
    </w:p>
    <w:p w14:paraId="042FBEC9">
      <w:pPr>
        <w:ind w:firstLine="480" w:firstLineChars="200"/>
        <w:jc w:val="center"/>
      </w:pPr>
      <w:r>
        <w:drawing>
          <wp:inline distT="0" distB="0" distL="0" distR="0">
            <wp:extent cx="2426335" cy="1941830"/>
            <wp:effectExtent l="0" t="0" r="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447320" cy="1958798"/>
                    </a:xfrm>
                    <a:prstGeom prst="rect">
                      <a:avLst/>
                    </a:prstGeom>
                    <a:noFill/>
                    <a:ln>
                      <a:noFill/>
                    </a:ln>
                  </pic:spPr>
                </pic:pic>
              </a:graphicData>
            </a:graphic>
          </wp:inline>
        </w:drawing>
      </w:r>
    </w:p>
    <w:p w14:paraId="1780AB20">
      <w:pPr>
        <w:ind w:firstLine="480" w:firstLineChars="200"/>
        <w:jc w:val="center"/>
      </w:pPr>
      <w:r>
        <w:t>Fig. 6 Coherence time of the monostatic sensing channel and the communication (bistatic sensing) channel.</w:t>
      </w:r>
    </w:p>
    <w:p w14:paraId="616DC0A4">
      <w:pPr>
        <w:ind w:firstLine="480" w:firstLineChars="200"/>
        <w:jc w:val="center"/>
      </w:pPr>
    </w:p>
    <w:p w14:paraId="7E2F8D03">
      <w:pPr>
        <w:ind w:firstLine="480" w:firstLineChars="200"/>
        <w:jc w:val="both"/>
      </w:pPr>
      <w:r>
        <w:t xml:space="preserve">It can be observed that </w:t>
      </w:r>
      <w:bookmarkStart w:id="1" w:name="_Hlk178585346"/>
      <w:r>
        <w:t>the coherence time of monostatic sensing channel is smaller than that of the communication (bistatic sensing) channel.</w:t>
      </w:r>
      <w:bookmarkEnd w:id="1"/>
      <w:r>
        <w:t xml:space="preserve"> This suggests that, given the same duration of the transmitted signal, the monostatic sensing channel is more susceptible to time-selective fading compared to the communication (bistatic sensing) channel.</w:t>
      </w:r>
    </w:p>
    <w:p w14:paraId="1DC500CE">
      <w:pPr>
        <w:ind w:firstLine="480" w:firstLineChars="200"/>
        <w:jc w:val="both"/>
      </w:pPr>
    </w:p>
    <w:p w14:paraId="07F0E9D0">
      <w:pPr>
        <w:jc w:val="both"/>
      </w:pPr>
      <w:r>
        <w:rPr>
          <w:rFonts w:hint="eastAsia"/>
          <w:b/>
          <w:bCs/>
          <w:i/>
          <w:iCs/>
          <w:u w:val="single"/>
        </w:rPr>
        <w:t xml:space="preserve">Observation </w:t>
      </w:r>
      <w:r>
        <w:rPr>
          <w:b/>
          <w:bCs/>
          <w:i/>
          <w:iCs/>
          <w:u w:val="single"/>
        </w:rPr>
        <w:t>5</w:t>
      </w:r>
      <w:r>
        <w:rPr>
          <w:rFonts w:hint="eastAsia"/>
          <w:b/>
          <w:bCs/>
          <w:i/>
          <w:iCs/>
          <w:u w:val="none"/>
        </w:rPr>
        <w:t>:</w:t>
      </w:r>
      <w:r>
        <w:rPr>
          <w:rFonts w:hint="eastAsia"/>
          <w:i/>
          <w:iCs/>
          <w:u w:val="none"/>
        </w:rPr>
        <w:t xml:space="preserve"> </w:t>
      </w:r>
      <w:r>
        <w:rPr>
          <w:i/>
          <w:iCs/>
        </w:rPr>
        <w:t>The coherence time of monostatic sensing channel is smaller than that of the communication (bistatic sensing) channel.</w:t>
      </w:r>
    </w:p>
    <w:p w14:paraId="404694D3">
      <w:pPr>
        <w:jc w:val="both"/>
      </w:pPr>
    </w:p>
    <w:p w14:paraId="323D7D66">
      <w:pPr>
        <w:spacing w:before="120" w:after="120"/>
        <w:jc w:val="both"/>
        <w:rPr>
          <w:rFonts w:hint="default" w:ascii="Times New Roman Italic" w:hAnsi="Times New Roman Italic" w:cs="Times New Roman Italic"/>
          <w:b w:val="0"/>
          <w:bCs/>
          <w:i/>
        </w:rPr>
      </w:pPr>
      <w:r>
        <w:rPr>
          <w:b/>
          <w:i/>
          <w:u w:val="single"/>
        </w:rPr>
        <w:t>Proposal 4</w:t>
      </w:r>
      <w:r>
        <w:rPr>
          <w:b/>
          <w:i/>
          <w:u w:val="none"/>
        </w:rPr>
        <w:t xml:space="preserve">: </w:t>
      </w:r>
      <w:r>
        <w:rPr>
          <w:rFonts w:hint="default" w:ascii="Times New Roman Italic" w:hAnsi="Times New Roman Italic" w:cs="Times New Roman Italic"/>
          <w:b w:val="0"/>
          <w:bCs/>
          <w:i/>
        </w:rPr>
        <w:t>The coherence time of monostatic sensing channel is smaller than that of the communication (bistatic sensing) channel.</w:t>
      </w:r>
      <w:r>
        <w:rPr>
          <w:rFonts w:hint="default" w:ascii="Times New Roman Italic" w:hAnsi="Times New Roman Italic" w:cs="Times New Roman Italic"/>
          <w:b w:val="0"/>
          <w:bCs/>
        </w:rPr>
        <w:t xml:space="preserve"> </w:t>
      </w:r>
      <w:r>
        <w:rPr>
          <w:rFonts w:hint="default" w:ascii="Times New Roman Italic" w:hAnsi="Times New Roman Italic" w:cs="Times New Roman Italic"/>
          <w:b w:val="0"/>
          <w:bCs/>
          <w:i/>
        </w:rPr>
        <w:t>Given the same duration of the transmitted signal, the monostatic sensing channel is more susceptible to time-selective fading compared to the communication (bistatic sensing) channel.</w:t>
      </w:r>
    </w:p>
    <w:p w14:paraId="08DAA7B9">
      <w:pPr>
        <w:jc w:val="both"/>
      </w:pPr>
    </w:p>
    <w:p w14:paraId="472D2C01">
      <w:pPr>
        <w:pStyle w:val="10"/>
        <w:numPr>
          <w:numId w:val="0"/>
        </w:numPr>
        <w:jc w:val="both"/>
      </w:pPr>
      <w:r>
        <w:rPr>
          <w:rFonts w:hint="default"/>
          <w:lang w:val="en-US"/>
        </w:rPr>
        <w:t xml:space="preserve">2.2.6 </w:t>
      </w:r>
      <w:r>
        <w:t>C</w:t>
      </w:r>
      <w:r>
        <w:rPr>
          <w:rFonts w:hint="eastAsia"/>
        </w:rPr>
        <w:t>oherence</w:t>
      </w:r>
      <w:r>
        <w:t xml:space="preserve"> bandwidth</w:t>
      </w:r>
    </w:p>
    <w:p w14:paraId="331607FD">
      <w:pPr>
        <w:ind w:firstLine="480" w:firstLineChars="200"/>
        <w:jc w:val="both"/>
      </w:pPr>
      <w:r>
        <w:t>Coherence bandwidth refers to the degree of amplitude correlation between two frequency components within a specific frequency range. Within the coherence bandwidth, multipath channels exhibit constant gain and linear phase characteristics. Consequently, coherence bandwidth serves as a quantization parameter to distinguish between frequency-selective fading channels and non-frequency-selective fading channels. Usually, the coherent bandwidth is approximately equal to the reciprocal of the maximum multipath delay. We have obtained the coherence bandwidths of the monostatic sensing channel and the communication (bistatic sensing) channel, and compared the them. The results are as follows</w:t>
      </w:r>
    </w:p>
    <w:p w14:paraId="21FA5325">
      <w:pPr>
        <w:ind w:firstLine="480" w:firstLineChars="200"/>
        <w:jc w:val="center"/>
      </w:pPr>
      <w:r>
        <w:drawing>
          <wp:inline distT="0" distB="0" distL="0" distR="0">
            <wp:extent cx="2346960" cy="176022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359923" cy="1769800"/>
                    </a:xfrm>
                    <a:prstGeom prst="rect">
                      <a:avLst/>
                    </a:prstGeom>
                    <a:noFill/>
                    <a:ln>
                      <a:noFill/>
                    </a:ln>
                  </pic:spPr>
                </pic:pic>
              </a:graphicData>
            </a:graphic>
          </wp:inline>
        </w:drawing>
      </w:r>
    </w:p>
    <w:p w14:paraId="112688D4">
      <w:pPr>
        <w:ind w:firstLine="480" w:firstLineChars="200"/>
        <w:jc w:val="center"/>
      </w:pPr>
      <w:r>
        <w:t>Fig. 7 Coherence bandwidths of the monostatic sensing channel and the communication (bistatic sensing) channel.</w:t>
      </w:r>
    </w:p>
    <w:p w14:paraId="4E953399">
      <w:pPr>
        <w:ind w:firstLine="480" w:firstLineChars="200"/>
        <w:jc w:val="center"/>
      </w:pPr>
    </w:p>
    <w:p w14:paraId="7621CF0C">
      <w:pPr>
        <w:ind w:firstLine="480" w:firstLineChars="200"/>
        <w:jc w:val="both"/>
      </w:pPr>
      <w:r>
        <w:t xml:space="preserve">It can be observed that </w:t>
      </w:r>
      <w:bookmarkStart w:id="2" w:name="_Hlk178586585"/>
      <w:r>
        <w:t>the coherence bandwidth of the communication (bistatic sensing) channel is larger than that of the monostatic sensing channel. This indicates that when the signal bandwidth is equal, monostatic sensing channels are more susceptible to frequency-selective fading than communication (bistatic sensing) channels.</w:t>
      </w:r>
      <w:bookmarkEnd w:id="2"/>
    </w:p>
    <w:p w14:paraId="753ECDEB">
      <w:pPr>
        <w:ind w:firstLine="480" w:firstLineChars="200"/>
        <w:jc w:val="both"/>
      </w:pPr>
    </w:p>
    <w:p w14:paraId="0A10E617">
      <w:pPr>
        <w:jc w:val="both"/>
      </w:pPr>
      <w:r>
        <w:rPr>
          <w:rFonts w:hint="eastAsia"/>
          <w:b/>
          <w:bCs/>
          <w:i/>
          <w:iCs/>
          <w:u w:val="single"/>
        </w:rPr>
        <w:t xml:space="preserve">Observation </w:t>
      </w:r>
      <w:r>
        <w:rPr>
          <w:b/>
          <w:bCs/>
          <w:i/>
          <w:iCs/>
          <w:u w:val="single"/>
        </w:rPr>
        <w:t>6</w:t>
      </w:r>
      <w:r>
        <w:rPr>
          <w:rFonts w:hint="eastAsia"/>
          <w:b/>
          <w:bCs/>
          <w:i/>
          <w:iCs/>
          <w:u w:val="single"/>
        </w:rPr>
        <w:t>:</w:t>
      </w:r>
      <w:r>
        <w:rPr>
          <w:rFonts w:hint="eastAsia"/>
          <w:i/>
          <w:iCs/>
          <w:u w:val="single"/>
        </w:rPr>
        <w:t xml:space="preserve"> </w:t>
      </w:r>
      <w:r>
        <w:rPr>
          <w:i/>
          <w:iCs/>
        </w:rPr>
        <w:t>The coherence bandwidth of the communication (bistatic sensing) channel is larger than that of the monostatic sensing channel.</w:t>
      </w:r>
    </w:p>
    <w:p w14:paraId="4557B508">
      <w:pPr>
        <w:jc w:val="both"/>
      </w:pPr>
    </w:p>
    <w:p w14:paraId="50C8C1FB">
      <w:pPr>
        <w:spacing w:before="120" w:after="120"/>
        <w:jc w:val="both"/>
        <w:rPr>
          <w:rFonts w:hint="default" w:ascii="Times New Roman Italic" w:hAnsi="Times New Roman Italic" w:cs="Times New Roman Italic"/>
          <w:b w:val="0"/>
          <w:bCs/>
          <w:i/>
          <w:u w:val="none"/>
        </w:rPr>
      </w:pPr>
      <w:r>
        <w:rPr>
          <w:b/>
          <w:i/>
          <w:u w:val="single"/>
        </w:rPr>
        <w:t xml:space="preserve">Proposal 5: </w:t>
      </w:r>
      <w:r>
        <w:rPr>
          <w:rFonts w:hint="default" w:ascii="Times New Roman Italic" w:hAnsi="Times New Roman Italic" w:cs="Times New Roman Italic"/>
          <w:b w:val="0"/>
          <w:bCs/>
          <w:i/>
          <w:u w:val="none"/>
        </w:rPr>
        <w:t>The coherence bandwidth of the communication (bistatic sensing) channel is larger than that of the monostatic sensing channel. When the signal bandwidth is equal, monostatic sensing channels are more susceptible to frequency-selective fading than communication (bistatic sensing) channels.</w:t>
      </w:r>
    </w:p>
    <w:p w14:paraId="568D98AA">
      <w:pPr>
        <w:ind w:firstLine="480" w:firstLineChars="200"/>
        <w:jc w:val="both"/>
      </w:pPr>
    </w:p>
    <w:p w14:paraId="073AFA0D">
      <w:pPr>
        <w:pStyle w:val="10"/>
        <w:numPr>
          <w:numId w:val="0"/>
        </w:numPr>
        <w:jc w:val="both"/>
      </w:pPr>
      <w:r>
        <w:rPr>
          <w:rFonts w:hint="default"/>
          <w:lang w:val="en-US"/>
        </w:rPr>
        <w:t xml:space="preserve">2.2.7 </w:t>
      </w:r>
      <w:r>
        <w:t>Multipath birth-death process</w:t>
      </w:r>
    </w:p>
    <w:p w14:paraId="05E6EDBC">
      <w:pPr>
        <w:ind w:firstLine="480" w:firstLineChars="200"/>
        <w:jc w:val="both"/>
      </w:pPr>
      <w:r>
        <w:t>We display all the snapshots of the route in the measurement and corresponding departure angles in the figure as</w:t>
      </w:r>
    </w:p>
    <w:p w14:paraId="1BED17BB">
      <w:pPr>
        <w:ind w:firstLine="480" w:firstLineChars="200"/>
        <w:jc w:val="both"/>
      </w:pPr>
    </w:p>
    <w:p w14:paraId="17F21B11">
      <w:pPr>
        <w:ind w:firstLine="480" w:firstLineChars="200"/>
        <w:jc w:val="center"/>
      </w:pPr>
      <w:r>
        <w:rPr>
          <w:rFonts w:hint="eastAsia"/>
        </w:rPr>
        <w:drawing>
          <wp:inline distT="0" distB="0" distL="0" distR="0">
            <wp:extent cx="1999615" cy="1499870"/>
            <wp:effectExtent l="0" t="0" r="635"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020197" cy="1515025"/>
                    </a:xfrm>
                    <a:prstGeom prst="rect">
                      <a:avLst/>
                    </a:prstGeom>
                    <a:noFill/>
                    <a:ln>
                      <a:noFill/>
                    </a:ln>
                  </pic:spPr>
                </pic:pic>
              </a:graphicData>
            </a:graphic>
          </wp:inline>
        </w:drawing>
      </w:r>
      <w:r>
        <w:drawing>
          <wp:inline distT="0" distB="0" distL="0" distR="0">
            <wp:extent cx="2047240" cy="153543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5"/>
                    <a:stretch>
                      <a:fillRect/>
                    </a:stretch>
                  </pic:blipFill>
                  <pic:spPr>
                    <a:xfrm>
                      <a:off x="0" y="0"/>
                      <a:ext cx="2065748" cy="1549435"/>
                    </a:xfrm>
                    <a:prstGeom prst="rect">
                      <a:avLst/>
                    </a:prstGeom>
                  </pic:spPr>
                </pic:pic>
              </a:graphicData>
            </a:graphic>
          </wp:inline>
        </w:drawing>
      </w:r>
    </w:p>
    <w:p w14:paraId="0F71C61D">
      <w:pPr>
        <w:ind w:left="480"/>
        <w:jc w:val="center"/>
      </w:pPr>
      <w:r>
        <w:t>(a)</w:t>
      </w:r>
      <w:r>
        <w:rPr>
          <w:rFonts w:hint="eastAsia"/>
        </w:rPr>
        <w:t xml:space="preserve"> </w:t>
      </w:r>
      <w:r>
        <w:t xml:space="preserve">                          (b)</w:t>
      </w:r>
    </w:p>
    <w:p w14:paraId="30DD4C6B">
      <w:pPr>
        <w:ind w:firstLine="480" w:firstLineChars="200"/>
        <w:jc w:val="center"/>
      </w:pPr>
      <w:r>
        <w:t>Fig. 8 Birth-death process of multipath of (a) sensing channel and (b) communication channel.</w:t>
      </w:r>
    </w:p>
    <w:p w14:paraId="559A99D4">
      <w:pPr>
        <w:ind w:firstLine="480" w:firstLineChars="200"/>
        <w:jc w:val="both"/>
      </w:pPr>
    </w:p>
    <w:p w14:paraId="1D95230C">
      <w:pPr>
        <w:ind w:firstLine="480" w:firstLineChars="200"/>
        <w:jc w:val="both"/>
      </w:pPr>
      <w:r>
        <w:t xml:space="preserve">It can be clearly observed that both the monostatic sensing channel and the communication (bistatic sensing) channel exhibit obvious multipath birth-death phenomena. The multipath between two adjacent snapshots is continuous. This indicates that both </w:t>
      </w:r>
      <w:bookmarkStart w:id="3" w:name="_Hlk178587466"/>
      <w:r>
        <w:t>the monostatic sensing channel and the communication (bistatic sensing) channel</w:t>
      </w:r>
      <w:bookmarkEnd w:id="3"/>
      <w:r>
        <w:t xml:space="preserve"> </w:t>
      </w:r>
      <w:bookmarkStart w:id="4" w:name="_Hlk178587448"/>
      <w:r>
        <w:t>need to consider</w:t>
      </w:r>
      <w:bookmarkEnd w:id="4"/>
      <w:r>
        <w:t xml:space="preserve"> the </w:t>
      </w:r>
      <w:bookmarkStart w:id="5" w:name="_Hlk178587441"/>
      <w:r>
        <w:t>spatial consistency</w:t>
      </w:r>
      <w:bookmarkEnd w:id="5"/>
      <w:r>
        <w:t>.</w:t>
      </w:r>
    </w:p>
    <w:p w14:paraId="2D8EF413">
      <w:pPr>
        <w:ind w:firstLine="480" w:firstLineChars="200"/>
        <w:jc w:val="both"/>
      </w:pPr>
    </w:p>
    <w:p w14:paraId="10FD7D55">
      <w:pPr>
        <w:jc w:val="both"/>
      </w:pPr>
      <w:r>
        <w:rPr>
          <w:rFonts w:hint="eastAsia"/>
          <w:b/>
          <w:bCs/>
          <w:i/>
          <w:iCs/>
          <w:u w:val="single"/>
        </w:rPr>
        <w:t xml:space="preserve">Observation </w:t>
      </w:r>
      <w:r>
        <w:rPr>
          <w:b/>
          <w:bCs/>
          <w:i/>
          <w:iCs/>
          <w:u w:val="single"/>
        </w:rPr>
        <w:t>7</w:t>
      </w:r>
      <w:r>
        <w:rPr>
          <w:rFonts w:hint="eastAsia"/>
          <w:b/>
          <w:bCs/>
          <w:i/>
          <w:iCs/>
          <w:u w:val="single"/>
        </w:rPr>
        <w:t>:</w:t>
      </w:r>
      <w:r>
        <w:rPr>
          <w:rFonts w:hint="eastAsia"/>
          <w:i/>
          <w:iCs/>
          <w:u w:val="single"/>
        </w:rPr>
        <w:t xml:space="preserve"> </w:t>
      </w:r>
      <w:r>
        <w:rPr>
          <w:i/>
          <w:iCs/>
        </w:rPr>
        <w:t>The monostatic sensing channel and the communication (bistatic sensing) channel exhibit obvious multipath birth-death phenomena. The multipath between two adjacent snapshots is continuous.</w:t>
      </w:r>
    </w:p>
    <w:p w14:paraId="67BDD468">
      <w:pPr>
        <w:jc w:val="both"/>
      </w:pPr>
    </w:p>
    <w:p w14:paraId="788A9243">
      <w:pPr>
        <w:spacing w:before="120" w:after="120"/>
        <w:jc w:val="both"/>
        <w:rPr>
          <w:rFonts w:hint="eastAsia"/>
          <w:b/>
          <w:i/>
        </w:rPr>
      </w:pPr>
      <w:r>
        <w:rPr>
          <w:b/>
          <w:i/>
          <w:u w:val="single"/>
        </w:rPr>
        <w:t>Proposal 6</w:t>
      </w:r>
      <w:r>
        <w:rPr>
          <w:b/>
          <w:i/>
        </w:rPr>
        <w:t xml:space="preserve">: </w:t>
      </w:r>
      <w:r>
        <w:rPr>
          <w:rFonts w:hint="default" w:ascii="Times New Roman Italic" w:hAnsi="Times New Roman Italic" w:cs="Times New Roman Italic"/>
          <w:b w:val="0"/>
          <w:bCs/>
          <w:i/>
        </w:rPr>
        <w:t>The birth-death process and spatial consistency need to be considered when modeling the monostatic sensing channel and the communication (bistatic sensing) channel.</w:t>
      </w:r>
    </w:p>
    <w:p w14:paraId="1AC54115">
      <w:pPr>
        <w:ind w:firstLine="480" w:firstLineChars="200"/>
        <w:jc w:val="both"/>
        <w:rPr>
          <w:rFonts w:hint="eastAsia"/>
        </w:rPr>
      </w:pPr>
    </w:p>
    <w:p w14:paraId="7C3695ED">
      <w:pPr>
        <w:pStyle w:val="2"/>
        <w:numPr>
          <w:ilvl w:val="0"/>
          <w:numId w:val="1"/>
        </w:numPr>
        <w:pBdr>
          <w:top w:val="single" w:color="auto" w:sz="4" w:space="0"/>
        </w:pBdr>
        <w:spacing w:before="156" w:after="156"/>
        <w:rPr>
          <w:b w:val="0"/>
          <w:bCs w:val="0"/>
          <w:kern w:val="36"/>
          <w:sz w:val="36"/>
          <w:szCs w:val="36"/>
        </w:rPr>
      </w:pPr>
      <w:r>
        <w:rPr>
          <w:rFonts w:hint="eastAsia"/>
          <w:b w:val="0"/>
          <w:bCs w:val="0"/>
          <w:kern w:val="36"/>
          <w:sz w:val="36"/>
          <w:szCs w:val="36"/>
        </w:rPr>
        <w:t>Conclusion</w:t>
      </w:r>
      <w:r>
        <w:rPr>
          <w:b w:val="0"/>
          <w:bCs w:val="0"/>
          <w:kern w:val="36"/>
          <w:sz w:val="36"/>
          <w:szCs w:val="36"/>
        </w:rPr>
        <w:t>s</w:t>
      </w:r>
    </w:p>
    <w:p w14:paraId="5522A8BF">
      <w:pPr>
        <w:spacing w:before="120" w:after="120"/>
        <w:ind w:firstLine="360" w:firstLineChars="150"/>
        <w:rPr>
          <w:iCs/>
        </w:rPr>
      </w:pPr>
      <w:r>
        <w:rPr>
          <w:rFonts w:hint="eastAsia"/>
          <w:iCs/>
        </w:rPr>
        <w:t>In this contribution, we discuss our views on channel modeling of ISAC system, and we have the following proposals:</w:t>
      </w:r>
    </w:p>
    <w:p w14:paraId="228D64B5">
      <w:pPr>
        <w:jc w:val="both"/>
        <w:rPr>
          <w:i/>
          <w:iCs/>
        </w:rPr>
      </w:pPr>
      <w:r>
        <w:rPr>
          <w:rFonts w:hint="eastAsia"/>
          <w:b/>
          <w:bCs/>
          <w:i/>
          <w:iCs/>
        </w:rPr>
        <w:t>Observation 1:</w:t>
      </w:r>
      <w:r>
        <w:rPr>
          <w:rFonts w:hint="eastAsia"/>
          <w:i/>
          <w:iCs/>
        </w:rPr>
        <w:t xml:space="preserve"> </w:t>
      </w:r>
      <w:r>
        <w:rPr>
          <w:i/>
          <w:iCs/>
        </w:rPr>
        <w:t>Most of the perceived clusters in the sensing channel can serve as shared clusters in the communication channel.</w:t>
      </w:r>
    </w:p>
    <w:p w14:paraId="3BE220E2">
      <w:pPr>
        <w:jc w:val="both"/>
        <w:rPr>
          <w:i/>
          <w:iCs/>
        </w:rPr>
      </w:pPr>
      <w:r>
        <w:rPr>
          <w:rFonts w:hint="eastAsia"/>
          <w:b/>
          <w:bCs/>
          <w:i/>
          <w:iCs/>
        </w:rPr>
        <w:t xml:space="preserve">Observation </w:t>
      </w:r>
      <w:r>
        <w:rPr>
          <w:b/>
          <w:bCs/>
          <w:i/>
          <w:iCs/>
        </w:rPr>
        <w:t>2</w:t>
      </w:r>
      <w:r>
        <w:rPr>
          <w:rFonts w:hint="eastAsia"/>
          <w:b/>
          <w:bCs/>
          <w:i/>
          <w:iCs/>
        </w:rPr>
        <w:t>:</w:t>
      </w:r>
      <w:r>
        <w:rPr>
          <w:rFonts w:hint="eastAsia"/>
          <w:i/>
          <w:iCs/>
        </w:rPr>
        <w:t xml:space="preserve"> </w:t>
      </w:r>
      <w:r>
        <w:rPr>
          <w:i/>
          <w:iCs/>
        </w:rPr>
        <w:t>Sensing can detect shared clusters in the environment and assist in predicting communication channel departure angles to some extent.</w:t>
      </w:r>
    </w:p>
    <w:p w14:paraId="0526DD24">
      <w:pPr>
        <w:jc w:val="both"/>
        <w:rPr>
          <w:i/>
          <w:iCs/>
        </w:rPr>
      </w:pPr>
      <w:r>
        <w:rPr>
          <w:rFonts w:hint="eastAsia"/>
          <w:b/>
          <w:bCs/>
          <w:i/>
          <w:iCs/>
        </w:rPr>
        <w:t xml:space="preserve">Observation </w:t>
      </w:r>
      <w:r>
        <w:rPr>
          <w:b/>
          <w:bCs/>
          <w:i/>
          <w:iCs/>
        </w:rPr>
        <w:t>3</w:t>
      </w:r>
      <w:r>
        <w:rPr>
          <w:rFonts w:hint="eastAsia"/>
          <w:b/>
          <w:bCs/>
          <w:i/>
          <w:iCs/>
        </w:rPr>
        <w:t>:</w:t>
      </w:r>
      <w:r>
        <w:rPr>
          <w:rFonts w:hint="eastAsia"/>
          <w:i/>
          <w:iCs/>
        </w:rPr>
        <w:t xml:space="preserve"> </w:t>
      </w:r>
      <w:r>
        <w:rPr>
          <w:i/>
          <w:iCs/>
        </w:rPr>
        <w:t>TACFs of communication channels are larger than that of sensing channels in both NLoS and LoS environments, illustrating that the temporal correlation of the perception channel is weak.</w:t>
      </w:r>
    </w:p>
    <w:p w14:paraId="3609552E">
      <w:pPr>
        <w:jc w:val="both"/>
      </w:pPr>
      <w:r>
        <w:rPr>
          <w:rFonts w:hint="eastAsia"/>
          <w:b/>
          <w:bCs/>
          <w:i/>
          <w:iCs/>
        </w:rPr>
        <w:t xml:space="preserve">Observation </w:t>
      </w:r>
      <w:r>
        <w:rPr>
          <w:b/>
          <w:bCs/>
          <w:i/>
          <w:iCs/>
        </w:rPr>
        <w:t>4</w:t>
      </w:r>
      <w:r>
        <w:rPr>
          <w:rFonts w:hint="eastAsia"/>
          <w:b/>
          <w:bCs/>
          <w:i/>
          <w:iCs/>
        </w:rPr>
        <w:t>:</w:t>
      </w:r>
      <w:r>
        <w:rPr>
          <w:rFonts w:hint="eastAsia"/>
          <w:i/>
          <w:iCs/>
        </w:rPr>
        <w:t xml:space="preserve"> </w:t>
      </w:r>
      <w:r>
        <w:rPr>
          <w:i/>
          <w:iCs/>
        </w:rPr>
        <w:t>The cluster distribution of the sensing channel in the time and angle domains is more dispersed than that of the communication channel.</w:t>
      </w:r>
    </w:p>
    <w:p w14:paraId="1929D1D5">
      <w:pPr>
        <w:jc w:val="both"/>
        <w:rPr>
          <w:rFonts w:hint="eastAsia"/>
        </w:rPr>
      </w:pPr>
      <w:r>
        <w:rPr>
          <w:rFonts w:hint="eastAsia"/>
          <w:b/>
          <w:bCs/>
          <w:i/>
          <w:iCs/>
        </w:rPr>
        <w:t xml:space="preserve">Observation </w:t>
      </w:r>
      <w:r>
        <w:rPr>
          <w:b/>
          <w:bCs/>
          <w:i/>
          <w:iCs/>
        </w:rPr>
        <w:t>5</w:t>
      </w:r>
      <w:r>
        <w:rPr>
          <w:rFonts w:hint="eastAsia"/>
          <w:b/>
          <w:bCs/>
          <w:i/>
          <w:iCs/>
        </w:rPr>
        <w:t>:</w:t>
      </w:r>
      <w:r>
        <w:rPr>
          <w:rFonts w:hint="eastAsia"/>
          <w:i/>
          <w:iCs/>
        </w:rPr>
        <w:t xml:space="preserve"> </w:t>
      </w:r>
      <w:r>
        <w:rPr>
          <w:i/>
          <w:iCs/>
        </w:rPr>
        <w:t>The coherence time of monostatic sensing channel is smaller than that of the communication (bistatic sensing) channel.</w:t>
      </w:r>
    </w:p>
    <w:p w14:paraId="2B12D58F">
      <w:pPr>
        <w:jc w:val="both"/>
        <w:rPr>
          <w:rFonts w:hint="eastAsia"/>
        </w:rPr>
      </w:pPr>
      <w:r>
        <w:rPr>
          <w:rFonts w:hint="eastAsia"/>
          <w:b/>
          <w:bCs/>
          <w:i/>
          <w:iCs/>
        </w:rPr>
        <w:t xml:space="preserve">Observation </w:t>
      </w:r>
      <w:r>
        <w:rPr>
          <w:b/>
          <w:bCs/>
          <w:i/>
          <w:iCs/>
        </w:rPr>
        <w:t>6</w:t>
      </w:r>
      <w:r>
        <w:rPr>
          <w:rFonts w:hint="eastAsia"/>
          <w:b/>
          <w:bCs/>
          <w:i/>
          <w:iCs/>
        </w:rPr>
        <w:t>:</w:t>
      </w:r>
      <w:r>
        <w:rPr>
          <w:rFonts w:hint="eastAsia"/>
          <w:i/>
          <w:iCs/>
        </w:rPr>
        <w:t xml:space="preserve"> </w:t>
      </w:r>
      <w:r>
        <w:rPr>
          <w:i/>
          <w:iCs/>
        </w:rPr>
        <w:t>The coherence bandwidth of the communication (bistatic sensing) channel is larger than that of the monostatic sensing channel.</w:t>
      </w:r>
    </w:p>
    <w:p w14:paraId="2E19C2C0">
      <w:pPr>
        <w:jc w:val="both"/>
        <w:rPr>
          <w:rFonts w:hint="eastAsia"/>
        </w:rPr>
      </w:pPr>
      <w:r>
        <w:rPr>
          <w:rFonts w:hint="eastAsia"/>
          <w:b/>
          <w:bCs/>
          <w:i/>
          <w:iCs/>
        </w:rPr>
        <w:t xml:space="preserve">Observation </w:t>
      </w:r>
      <w:r>
        <w:rPr>
          <w:b/>
          <w:bCs/>
          <w:i/>
          <w:iCs/>
        </w:rPr>
        <w:t>7</w:t>
      </w:r>
      <w:r>
        <w:rPr>
          <w:rFonts w:hint="eastAsia"/>
          <w:b/>
          <w:bCs/>
          <w:i/>
          <w:iCs/>
        </w:rPr>
        <w:t>:</w:t>
      </w:r>
      <w:r>
        <w:rPr>
          <w:rFonts w:hint="eastAsia"/>
          <w:i/>
          <w:iCs/>
        </w:rPr>
        <w:t xml:space="preserve"> </w:t>
      </w:r>
      <w:r>
        <w:rPr>
          <w:i/>
          <w:iCs/>
        </w:rPr>
        <w:t>The monostatic sensing channel and the communication (bistatic sensing) channel exhibit obvious multipath birth-death phenomena. The multipath between two adjacent snapshots is continuous.</w:t>
      </w:r>
    </w:p>
    <w:p w14:paraId="340B7161">
      <w:pPr>
        <w:jc w:val="both"/>
        <w:rPr>
          <w:i/>
          <w:iCs/>
        </w:rPr>
      </w:pPr>
    </w:p>
    <w:p w14:paraId="6A5D0C95">
      <w:pPr>
        <w:spacing w:before="120" w:after="120"/>
        <w:jc w:val="both"/>
        <w:rPr>
          <w:rFonts w:hint="eastAsia"/>
          <w:b/>
          <w:i/>
        </w:rPr>
      </w:pPr>
      <w:r>
        <w:rPr>
          <w:b/>
          <w:i/>
        </w:rPr>
        <w:t xml:space="preserve">Proposal </w:t>
      </w:r>
      <w:r>
        <w:rPr>
          <w:rFonts w:hint="eastAsia"/>
          <w:b/>
          <w:i/>
        </w:rPr>
        <w:t>1</w:t>
      </w:r>
      <w:r>
        <w:rPr>
          <w:b/>
          <w:i/>
        </w:rPr>
        <w:t>: The monostatic sensing channel and communication channel (bi-static channel) have shared clusters and a certain similarity in departure angles, which needs to be considered in ISAC model</w:t>
      </w:r>
      <w:r>
        <w:rPr>
          <w:rFonts w:hint="eastAsia"/>
          <w:b/>
          <w:i/>
        </w:rPr>
        <w:t>.</w:t>
      </w:r>
    </w:p>
    <w:p w14:paraId="3EFE70FD">
      <w:pPr>
        <w:spacing w:before="120" w:after="120"/>
        <w:jc w:val="both"/>
        <w:rPr>
          <w:b/>
          <w:i/>
        </w:rPr>
      </w:pPr>
      <w:r>
        <w:rPr>
          <w:b/>
          <w:i/>
        </w:rPr>
        <w:t>Proposal 2: The temporal correlation of monostatic sensing channel is weaker compared to that of the communication channel (bi-static channel).</w:t>
      </w:r>
    </w:p>
    <w:p w14:paraId="63668EEE">
      <w:pPr>
        <w:spacing w:before="120" w:after="120"/>
        <w:jc w:val="both"/>
        <w:rPr>
          <w:b/>
          <w:i/>
        </w:rPr>
      </w:pPr>
      <w:r>
        <w:rPr>
          <w:b/>
          <w:i/>
        </w:rPr>
        <w:t>Proposal 3: When modeling ISAC channels, the characteristic that sensing channel and communication channel have different inter-cluster spreads needs to be considered.</w:t>
      </w:r>
    </w:p>
    <w:p w14:paraId="4623AFCA">
      <w:pPr>
        <w:spacing w:before="120" w:after="120"/>
        <w:jc w:val="both"/>
        <w:rPr>
          <w:b/>
          <w:i/>
        </w:rPr>
      </w:pPr>
      <w:r>
        <w:rPr>
          <w:b/>
          <w:i/>
        </w:rPr>
        <w:t>Proposal 4: The coherence time of monostatic sensing channel is smaller than that of the communication (bistatic sensing) channel.</w:t>
      </w:r>
      <w:r>
        <w:t xml:space="preserve"> </w:t>
      </w:r>
      <w:r>
        <w:rPr>
          <w:b/>
          <w:i/>
        </w:rPr>
        <w:t>Given the same duration of the transmitted signal, the monostatic sensing channel is more susceptible to time-selective fading compared to the communication (bistatic sensing) channel.</w:t>
      </w:r>
    </w:p>
    <w:p w14:paraId="0083A86E">
      <w:pPr>
        <w:spacing w:before="120" w:after="120"/>
        <w:jc w:val="both"/>
        <w:rPr>
          <w:rFonts w:hint="eastAsia"/>
          <w:b/>
          <w:i/>
        </w:rPr>
      </w:pPr>
      <w:r>
        <w:rPr>
          <w:b/>
          <w:i/>
        </w:rPr>
        <w:t>Proposal 5: The coherence bandwidth of the communication (bistatic sensing) channel is larger than that of the monostatic sensing channel. When the signal bandwidth is equal, monostatic sensing channels are more susceptible to frequency-selective fading than communication (bistatic sensing) channels.</w:t>
      </w:r>
    </w:p>
    <w:p w14:paraId="1972225E">
      <w:pPr>
        <w:spacing w:before="120" w:after="120"/>
        <w:jc w:val="both"/>
        <w:rPr>
          <w:rFonts w:hint="eastAsia"/>
          <w:b/>
          <w:i/>
        </w:rPr>
      </w:pPr>
      <w:r>
        <w:rPr>
          <w:b/>
          <w:i/>
        </w:rPr>
        <w:t>Proposal 6: The birth-death process and spatial consistency need to be considered when modeling the monostatic sensing channel and the communication (bistatic sensing) channel.</w:t>
      </w:r>
    </w:p>
    <w:p w14:paraId="18D7B81A">
      <w:pPr>
        <w:spacing w:before="120" w:after="120"/>
        <w:jc w:val="both"/>
        <w:rPr>
          <w:b/>
          <w:i/>
        </w:rPr>
      </w:pPr>
    </w:p>
    <w:p w14:paraId="7C21FC24">
      <w:pPr>
        <w:jc w:val="both"/>
      </w:pPr>
    </w:p>
    <w:sectPr>
      <w:pgSz w:w="11906" w:h="16838"/>
      <w:pgMar w:top="1417" w:right="1134" w:bottom="1134" w:left="1134"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panose1 w:val="02010600030101010101"/>
    <w:charset w:val="86"/>
    <w:family w:val="auto"/>
    <w:pitch w:val="default"/>
    <w:sig w:usb0="00000001" w:usb1="080E0000" w:usb2="00000000" w:usb3="00000000" w:csb0="00040000"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等线">
    <w:altName w:val="汉仪中等线KW"/>
    <w:panose1 w:val="02010600030101010101"/>
    <w:charset w:val="86"/>
    <w:family w:val="auto"/>
    <w:pitch w:val="default"/>
    <w:sig w:usb0="00000000" w:usb1="00000000" w:usb2="00000016" w:usb3="00000000" w:csb0="0004000F" w:csb1="00000000"/>
  </w:font>
  <w:font w:name="等线">
    <w:altName w:val="汉仪中等线KW"/>
    <w:panose1 w:val="00000000000000000000"/>
    <w:charset w:val="86"/>
    <w:family w:val="auto"/>
    <w:pitch w:val="default"/>
    <w:sig w:usb0="00000000" w:usb1="00000000" w:usb2="00000000" w:usb3="00000000" w:csb0="00000000" w:csb1="00000000"/>
  </w:font>
  <w:font w:name="等线">
    <w:altName w:val="汉仪中等线KW"/>
    <w:panose1 w:val="00000000000000000000"/>
    <w:charset w:val="00"/>
    <w:family w:val="auto"/>
    <w:pitch w:val="default"/>
    <w:sig w:usb0="00000000" w:usb1="00000000" w:usb2="00000000" w:usb3="00000000" w:csb0="00000000" w:csb1="00000000"/>
  </w:font>
  <w:font w:name="Cambria Math">
    <w:altName w:val="Kingsoft Math"/>
    <w:panose1 w:val="02040503050406030204"/>
    <w:charset w:val="00"/>
    <w:family w:val="roman"/>
    <w:pitch w:val="default"/>
    <w:sig w:usb0="00000000" w:usb1="00000000" w:usb2="02000000" w:usb3="00000000" w:csb0="0000019F" w:csb1="00000000"/>
  </w:font>
  <w:font w:name="MS Gothic">
    <w:altName w:val="冬青黑体简体中文"/>
    <w:panose1 w:val="020B0609070205080204"/>
    <w:charset w:val="80"/>
    <w:family w:val="modern"/>
    <w:pitch w:val="default"/>
    <w:sig w:usb0="00000000" w:usb1="00000000" w:usb2="08000012" w:usb3="00000000" w:csb0="0002009F" w:csb1="00000000"/>
  </w:font>
  <w:font w:name="汉仪中等线KW">
    <w:panose1 w:val="01010104010101010101"/>
    <w:charset w:val="86"/>
    <w:family w:val="auto"/>
    <w:pitch w:val="default"/>
    <w:sig w:usb0="800002BF" w:usb1="004F7CFA" w:usb2="00000000" w:usb3="00000000" w:csb0="00040001" w:csb1="00000000"/>
  </w:font>
  <w:font w:name="Kingsoft Math">
    <w:panose1 w:val="02040503050406030204"/>
    <w:charset w:val="00"/>
    <w:family w:val="auto"/>
    <w:pitch w:val="default"/>
    <w:sig w:usb0="80000087" w:usb1="00002068" w:usb2="00000000" w:usb3="00000000" w:csb0="2000019F" w:csb1="00000000"/>
  </w:font>
  <w:font w:name="DejaVu Math TeX Gyre">
    <w:panose1 w:val="02000503000000000000"/>
    <w:charset w:val="00"/>
    <w:family w:val="auto"/>
    <w:pitch w:val="default"/>
    <w:sig w:usb0="A10000EF" w:usb1="4201F9EE" w:usb2="02000000" w:usb3="00000000" w:csb0="60000193" w:csb1="0DD40000"/>
  </w:font>
  <w:font w:name="冬青黑体简体中文">
    <w:panose1 w:val="020B0300000000000000"/>
    <w:charset w:val="86"/>
    <w:family w:val="auto"/>
    <w:pitch w:val="default"/>
    <w:sig w:usb0="A00002BF" w:usb1="1ACF7CFA" w:usb2="00000016" w:usb3="00000000" w:csb0="00060007" w:csb1="00000000"/>
  </w:font>
  <w:font w:name="SimSun">
    <w:panose1 w:val="02010600030101010101"/>
    <w:charset w:val="86"/>
    <w:family w:val="auto"/>
    <w:pitch w:val="default"/>
    <w:sig w:usb0="00000003" w:usb1="288F0000" w:usb2="00000006" w:usb3="00000000" w:csb0="00040001" w:csb1="00000000"/>
  </w:font>
  <w:font w:name="MS Mincho">
    <w:altName w:val="Hiragino Sans"/>
    <w:panose1 w:val="02020609040205080304"/>
    <w:charset w:val="80"/>
    <w:family w:val="modern"/>
    <w:pitch w:val="default"/>
    <w:sig w:usb0="00000000" w:usb1="00000000" w:usb2="08000012" w:usb3="00000000" w:csb0="0002009F" w:csb1="00000000"/>
  </w:font>
  <w:font w:name="Malgun Gothic">
    <w:altName w:val="Apple SD Gothic Neo"/>
    <w:panose1 w:val="020B0503020000020004"/>
    <w:charset w:val="81"/>
    <w:family w:val="swiss"/>
    <w:pitch w:val="default"/>
    <w:sig w:usb0="00000000" w:usb1="00000000" w:usb2="00000012" w:usb3="00000000" w:csb0="00080001" w:csb1="00000000"/>
  </w:font>
  <w:font w:name="Apple SD Gothic Neo">
    <w:panose1 w:val="02000300000000000000"/>
    <w:charset w:val="81"/>
    <w:family w:val="auto"/>
    <w:pitch w:val="default"/>
    <w:sig w:usb0="00000203" w:usb1="21D12C10" w:usb2="00000010" w:usb3="00000000" w:csb0="00280005" w:csb1="00000000"/>
  </w:font>
  <w:font w:name="Hiragino Sans">
    <w:panose1 w:val="020B0300000000000000"/>
    <w:charset w:val="80"/>
    <w:family w:val="auto"/>
    <w:pitch w:val="default"/>
    <w:sig w:usb0="E00002FF" w:usb1="7AE7FFFF" w:usb2="00000012" w:usb3="00000000" w:csb0="0002000D" w:csb1="00000000"/>
  </w:font>
  <w:font w:name="Helvetica Neue">
    <w:panose1 w:val="02000503000000020004"/>
    <w:charset w:val="00"/>
    <w:family w:val="auto"/>
    <w:pitch w:val="default"/>
    <w:sig w:usb0="E50002FF" w:usb1="500079DB" w:usb2="00000010" w:usb3="00000000" w:csb0="00000000" w:csb1="00000000"/>
  </w:font>
  <w:font w:name="Kingsoft Sign">
    <w:panose1 w:val="05050102010706020507"/>
    <w:charset w:val="00"/>
    <w:family w:val="auto"/>
    <w:pitch w:val="default"/>
    <w:sig w:usb0="00000000" w:usb1="10000000" w:usb2="00000000" w:usb3="00000000" w:csb0="00000001" w:csb1="00000000"/>
  </w:font>
  <w:font w:name="MS Mincho">
    <w:altName w:val="Hiragino Sans"/>
    <w:panose1 w:val="00000000000000000000"/>
    <w:charset w:val="00"/>
    <w:family w:val="auto"/>
    <w:pitch w:val="default"/>
    <w:sig w:usb0="00000000" w:usb1="00000000" w:usb2="00000000" w:usb3="00000000" w:csb0="00000000" w:csb1="00000000"/>
  </w:font>
  <w:font w:name="Arial Unicode MS">
    <w:panose1 w:val="020B0604020202020204"/>
    <w:charset w:val="86"/>
    <w:family w:val="auto"/>
    <w:pitch w:val="default"/>
    <w:sig w:usb0="FFFFFFFF" w:usb1="E9FFFFFF" w:usb2="0000003F" w:usb3="00000000" w:csb0="603F01FF" w:csb1="FFFF0000"/>
  </w:font>
  <w:font w:name="Times New Roman Regular">
    <w:panose1 w:val="02020503050405090304"/>
    <w:charset w:val="00"/>
    <w:family w:val="auto"/>
    <w:pitch w:val="default"/>
    <w:sig w:usb0="E0000AFF" w:usb1="00007843" w:usb2="00000001" w:usb3="00000000" w:csb0="400001BF" w:csb1="DFF70000"/>
  </w:font>
  <w:font w:name="Apple SD Gothic Neo Regular">
    <w:panose1 w:val="02000300000000000000"/>
    <w:charset w:val="81"/>
    <w:family w:val="auto"/>
    <w:pitch w:val="default"/>
    <w:sig w:usb0="00000203" w:usb1="21D12C10" w:usb2="00000010" w:usb3="00000000" w:csb0="00280005" w:csb1="00000000"/>
  </w:font>
  <w:font w:name="Apple Symbols">
    <w:panose1 w:val="02000000000000000000"/>
    <w:charset w:val="00"/>
    <w:family w:val="auto"/>
    <w:pitch w:val="default"/>
    <w:sig w:usb0="800000A3" w:usb1="08007BEB" w:usb2="01840034" w:usb3="0000A268" w:csb0="200001FB" w:csb1="DDFF0000"/>
  </w:font>
  <w:font w:name="Al Tarikh">
    <w:panose1 w:val="00000400000000000000"/>
    <w:charset w:val="00"/>
    <w:family w:val="auto"/>
    <w:pitch w:val="default"/>
    <w:sig w:usb0="00000003" w:usb1="00000000" w:usb2="00000000" w:usb3="00000000" w:csb0="00000001" w:csb1="00000000"/>
  </w:font>
  <w:font w:name="宋体-简">
    <w:panose1 w:val="02010800040101010101"/>
    <w:charset w:val="86"/>
    <w:family w:val="auto"/>
    <w:pitch w:val="default"/>
    <w:sig w:usb0="00000001" w:usb1="080F0000" w:usb2="00000000" w:usb3="00000000" w:csb0="00040000" w:csb1="00000000"/>
  </w:font>
  <w:font w:name="Times New Roman Bold">
    <w:panose1 w:val="02020503050405090304"/>
    <w:charset w:val="00"/>
    <w:family w:val="auto"/>
    <w:pitch w:val="default"/>
    <w:sig w:usb0="E0000AFF" w:usb1="00007843" w:usb2="00000001" w:usb3="00000000" w:csb0="400001BF" w:csb1="DFF70000"/>
  </w:font>
  <w:font w:name="Times New Roman Italic">
    <w:panose1 w:val="02020503050405090304"/>
    <w:charset w:val="00"/>
    <w:family w:val="auto"/>
    <w:pitch w:val="default"/>
    <w:sig w:usb0="E0000AFF" w:usb1="00007843" w:usb2="00000001" w:usb3="00000000" w:csb0="400001BF" w:csb1="DFF7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4B5169"/>
    <w:multiLevelType w:val="multilevel"/>
    <w:tmpl w:val="1B4B5169"/>
    <w:lvl w:ilvl="0" w:tentative="0">
      <w:start w:val="2"/>
      <w:numFmt w:val="decimal"/>
      <w:lvlText w:val="%1"/>
      <w:lvlJc w:val="left"/>
      <w:pPr>
        <w:ind w:left="360" w:hanging="360"/>
      </w:pPr>
      <w:rPr>
        <w:rFonts w:hint="default"/>
      </w:rPr>
    </w:lvl>
    <w:lvl w:ilvl="1" w:tentative="0">
      <w:start w:val="1"/>
      <w:numFmt w:val="decimal"/>
      <w:lvlText w:val="%1.%2"/>
      <w:lvlJc w:val="left"/>
      <w:pPr>
        <w:ind w:left="780" w:hanging="360"/>
      </w:pPr>
      <w:rPr>
        <w:rFonts w:hint="default"/>
      </w:rPr>
    </w:lvl>
    <w:lvl w:ilvl="2" w:tentative="0">
      <w:start w:val="1"/>
      <w:numFmt w:val="decimal"/>
      <w:lvlText w:val="%1.%2.%3"/>
      <w:lvlJc w:val="left"/>
      <w:pPr>
        <w:ind w:left="1560" w:hanging="720"/>
      </w:pPr>
      <w:rPr>
        <w:rFonts w:hint="default"/>
      </w:rPr>
    </w:lvl>
    <w:lvl w:ilvl="3" w:tentative="0">
      <w:start w:val="1"/>
      <w:numFmt w:val="decimal"/>
      <w:lvlText w:val="%1.%2.%3.%4"/>
      <w:lvlJc w:val="left"/>
      <w:pPr>
        <w:ind w:left="1980" w:hanging="720"/>
      </w:pPr>
      <w:rPr>
        <w:rFonts w:hint="default"/>
      </w:rPr>
    </w:lvl>
    <w:lvl w:ilvl="4" w:tentative="0">
      <w:start w:val="1"/>
      <w:numFmt w:val="decimal"/>
      <w:lvlText w:val="%1.%2.%3.%4.%5"/>
      <w:lvlJc w:val="left"/>
      <w:pPr>
        <w:ind w:left="2760" w:hanging="1080"/>
      </w:pPr>
      <w:rPr>
        <w:rFonts w:hint="default"/>
      </w:rPr>
    </w:lvl>
    <w:lvl w:ilvl="5" w:tentative="0">
      <w:start w:val="1"/>
      <w:numFmt w:val="decimal"/>
      <w:lvlText w:val="%1.%2.%3.%4.%5.%6"/>
      <w:lvlJc w:val="left"/>
      <w:pPr>
        <w:ind w:left="3180" w:hanging="1080"/>
      </w:pPr>
      <w:rPr>
        <w:rFonts w:hint="default"/>
      </w:rPr>
    </w:lvl>
    <w:lvl w:ilvl="6" w:tentative="0">
      <w:start w:val="1"/>
      <w:numFmt w:val="decimal"/>
      <w:lvlText w:val="%1.%2.%3.%4.%5.%6.%7"/>
      <w:lvlJc w:val="left"/>
      <w:pPr>
        <w:ind w:left="3960" w:hanging="1440"/>
      </w:pPr>
      <w:rPr>
        <w:rFonts w:hint="default"/>
      </w:rPr>
    </w:lvl>
    <w:lvl w:ilvl="7" w:tentative="0">
      <w:start w:val="1"/>
      <w:numFmt w:val="decimal"/>
      <w:lvlText w:val="%1.%2.%3.%4.%5.%6.%7.%8"/>
      <w:lvlJc w:val="left"/>
      <w:pPr>
        <w:ind w:left="4380" w:hanging="1440"/>
      </w:pPr>
      <w:rPr>
        <w:rFonts w:hint="default"/>
      </w:rPr>
    </w:lvl>
    <w:lvl w:ilvl="8" w:tentative="0">
      <w:start w:val="1"/>
      <w:numFmt w:val="decimal"/>
      <w:lvlText w:val="%1.%2.%3.%4.%5.%6.%7.%8.%9"/>
      <w:lvlJc w:val="left"/>
      <w:pPr>
        <w:ind w:left="5160" w:hanging="1800"/>
      </w:pPr>
      <w:rPr>
        <w:rFonts w:hint="default"/>
      </w:rPr>
    </w:lvl>
  </w:abstractNum>
  <w:abstractNum w:abstractNumId="1">
    <w:nsid w:val="37142F34"/>
    <w:multiLevelType w:val="multilevel"/>
    <w:tmpl w:val="37142F34"/>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95"/>
  <w:doNotDisplayPageBoundaries w:val="1"/>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24FD"/>
    <w:rsid w:val="000144B2"/>
    <w:rsid w:val="001704FD"/>
    <w:rsid w:val="00182CB1"/>
    <w:rsid w:val="001B2A1C"/>
    <w:rsid w:val="001F6BDF"/>
    <w:rsid w:val="00201FB5"/>
    <w:rsid w:val="0025113A"/>
    <w:rsid w:val="00322C86"/>
    <w:rsid w:val="00417520"/>
    <w:rsid w:val="00456A69"/>
    <w:rsid w:val="00493CEB"/>
    <w:rsid w:val="004A312F"/>
    <w:rsid w:val="0055425E"/>
    <w:rsid w:val="005572CB"/>
    <w:rsid w:val="00590190"/>
    <w:rsid w:val="00613CD5"/>
    <w:rsid w:val="00711454"/>
    <w:rsid w:val="00816A71"/>
    <w:rsid w:val="00882AFE"/>
    <w:rsid w:val="00902E4E"/>
    <w:rsid w:val="009D71D7"/>
    <w:rsid w:val="00AC5B8E"/>
    <w:rsid w:val="00B12FD1"/>
    <w:rsid w:val="00BD17A9"/>
    <w:rsid w:val="00BE738D"/>
    <w:rsid w:val="00D41D8E"/>
    <w:rsid w:val="00EB58AF"/>
    <w:rsid w:val="00F66F27"/>
    <w:rsid w:val="00F724FD"/>
    <w:rsid w:val="00F95C3C"/>
    <w:rsid w:val="00FD5F0D"/>
    <w:rsid w:val="7FFB2F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宋体" w:cs="Times New Roman"/>
      <w:kern w:val="0"/>
      <w:sz w:val="24"/>
      <w:szCs w:val="24"/>
      <w:lang w:val="en-US" w:eastAsia="zh-CN" w:bidi="ar-SA"/>
    </w:rPr>
  </w:style>
  <w:style w:type="paragraph" w:styleId="2">
    <w:name w:val="heading 1"/>
    <w:basedOn w:val="1"/>
    <w:next w:val="1"/>
    <w:link w:val="8"/>
    <w:qFormat/>
    <w:uiPriority w:val="99"/>
    <w:pPr>
      <w:widowControl w:val="0"/>
      <w:autoSpaceDE w:val="0"/>
      <w:autoSpaceDN w:val="0"/>
      <w:adjustRightInd w:val="0"/>
      <w:snapToGrid w:val="0"/>
      <w:spacing w:beforeLines="50" w:afterLines="50"/>
      <w:ind w:left="431" w:hanging="431"/>
      <w:jc w:val="both"/>
      <w:outlineLvl w:val="0"/>
    </w:pPr>
    <w:rPr>
      <w:rFonts w:eastAsia="黑体"/>
      <w:b/>
      <w:bCs/>
      <w:sz w:val="28"/>
      <w:szCs w:val="28"/>
    </w:rPr>
  </w:style>
  <w:style w:type="paragraph" w:styleId="3">
    <w:name w:val="heading 2"/>
    <w:basedOn w:val="2"/>
    <w:next w:val="1"/>
    <w:link w:val="9"/>
    <w:qFormat/>
    <w:uiPriority w:val="99"/>
    <w:pPr>
      <w:keepNext/>
      <w:keepLines/>
      <w:ind w:left="575" w:hanging="575"/>
      <w:outlineLvl w:val="1"/>
    </w:pPr>
    <w:rPr>
      <w:sz w:val="24"/>
      <w:szCs w:val="24"/>
    </w:rPr>
  </w:style>
  <w:style w:type="character" w:default="1" w:styleId="7">
    <w:name w:val="Default Paragraph Font"/>
    <w:semiHidden/>
    <w:unhideWhenUsed/>
    <w:uiPriority w:val="1"/>
  </w:style>
  <w:style w:type="table" w:default="1" w:styleId="6">
    <w:name w:val="Normal Table"/>
    <w:semiHidden/>
    <w:unhideWhenUsed/>
    <w:uiPriority w:val="99"/>
    <w:tblPr>
      <w:tblCellMar>
        <w:top w:w="0" w:type="dxa"/>
        <w:left w:w="108" w:type="dxa"/>
        <w:bottom w:w="0" w:type="dxa"/>
        <w:right w:w="108" w:type="dxa"/>
      </w:tblCellMar>
    </w:tblPr>
  </w:style>
  <w:style w:type="paragraph" w:styleId="4">
    <w:name w:val="footer"/>
    <w:basedOn w:val="1"/>
    <w:link w:val="16"/>
    <w:unhideWhenUsed/>
    <w:uiPriority w:val="99"/>
    <w:pPr>
      <w:tabs>
        <w:tab w:val="center" w:pos="4153"/>
        <w:tab w:val="right" w:pos="8306"/>
      </w:tabs>
      <w:snapToGrid w:val="0"/>
    </w:pPr>
    <w:rPr>
      <w:sz w:val="18"/>
      <w:szCs w:val="18"/>
    </w:rPr>
  </w:style>
  <w:style w:type="paragraph" w:styleId="5">
    <w:name w:val="header"/>
    <w:basedOn w:val="1"/>
    <w:link w:val="15"/>
    <w:unhideWhenUsed/>
    <w:uiPriority w:val="99"/>
    <w:pPr>
      <w:pBdr>
        <w:bottom w:val="single" w:color="auto" w:sz="6" w:space="1"/>
      </w:pBdr>
      <w:tabs>
        <w:tab w:val="center" w:pos="4153"/>
        <w:tab w:val="right" w:pos="8306"/>
      </w:tabs>
      <w:snapToGrid w:val="0"/>
      <w:jc w:val="center"/>
    </w:pPr>
    <w:rPr>
      <w:sz w:val="18"/>
      <w:szCs w:val="18"/>
    </w:rPr>
  </w:style>
  <w:style w:type="character" w:customStyle="1" w:styleId="8">
    <w:name w:val="标题 1 字符"/>
    <w:basedOn w:val="7"/>
    <w:link w:val="2"/>
    <w:uiPriority w:val="99"/>
    <w:rPr>
      <w:rFonts w:ascii="Times New Roman" w:hAnsi="Times New Roman" w:eastAsia="黑体" w:cs="Times New Roman"/>
      <w:b/>
      <w:bCs/>
      <w:kern w:val="0"/>
      <w:sz w:val="28"/>
      <w:szCs w:val="28"/>
    </w:rPr>
  </w:style>
  <w:style w:type="character" w:customStyle="1" w:styleId="9">
    <w:name w:val="标题 2 字符"/>
    <w:basedOn w:val="7"/>
    <w:link w:val="3"/>
    <w:uiPriority w:val="99"/>
    <w:rPr>
      <w:rFonts w:ascii="Times New Roman" w:hAnsi="Times New Roman" w:eastAsia="黑体" w:cs="Times New Roman"/>
      <w:b/>
      <w:bCs/>
      <w:kern w:val="0"/>
      <w:sz w:val="24"/>
      <w:szCs w:val="24"/>
    </w:rPr>
  </w:style>
  <w:style w:type="paragraph" w:styleId="10">
    <w:name w:val="List Paragraph"/>
    <w:basedOn w:val="1"/>
    <w:qFormat/>
    <w:uiPriority w:val="34"/>
    <w:pPr>
      <w:ind w:firstLine="420" w:firstLineChars="200"/>
    </w:pPr>
  </w:style>
  <w:style w:type="character" w:customStyle="1" w:styleId="11">
    <w:name w:val="MTConvertedEquation"/>
    <w:basedOn w:val="7"/>
    <w:uiPriority w:val="0"/>
  </w:style>
  <w:style w:type="character" w:customStyle="1" w:styleId="12">
    <w:name w:val="MTEquationSection"/>
    <w:basedOn w:val="7"/>
    <w:uiPriority w:val="0"/>
    <w:rPr>
      <w:rFonts w:eastAsia="Times New Roman"/>
      <w:b/>
      <w:vanish/>
      <w:color w:val="FF0000"/>
    </w:rPr>
  </w:style>
  <w:style w:type="paragraph" w:customStyle="1" w:styleId="13">
    <w:name w:val="MTDisplayEquation"/>
    <w:basedOn w:val="1"/>
    <w:next w:val="1"/>
    <w:link w:val="14"/>
    <w:uiPriority w:val="0"/>
    <w:pPr>
      <w:tabs>
        <w:tab w:val="center" w:pos="4160"/>
        <w:tab w:val="right" w:pos="8300"/>
      </w:tabs>
      <w:jc w:val="center"/>
    </w:pPr>
  </w:style>
  <w:style w:type="character" w:customStyle="1" w:styleId="14">
    <w:name w:val="MTDisplayEquation 字符"/>
    <w:basedOn w:val="7"/>
    <w:link w:val="13"/>
    <w:uiPriority w:val="0"/>
    <w:rPr>
      <w:rFonts w:ascii="Times New Roman" w:hAnsi="Times New Roman" w:eastAsia="宋体" w:cs="Times New Roman"/>
      <w:kern w:val="0"/>
      <w:sz w:val="24"/>
      <w:szCs w:val="24"/>
    </w:rPr>
  </w:style>
  <w:style w:type="character" w:customStyle="1" w:styleId="15">
    <w:name w:val="页眉 字符"/>
    <w:basedOn w:val="7"/>
    <w:link w:val="5"/>
    <w:uiPriority w:val="99"/>
    <w:rPr>
      <w:rFonts w:ascii="Times New Roman" w:hAnsi="Times New Roman" w:eastAsia="宋体" w:cs="Times New Roman"/>
      <w:kern w:val="0"/>
      <w:sz w:val="18"/>
      <w:szCs w:val="18"/>
    </w:rPr>
  </w:style>
  <w:style w:type="character" w:customStyle="1" w:styleId="16">
    <w:name w:val="页脚 字符"/>
    <w:basedOn w:val="7"/>
    <w:link w:val="4"/>
    <w:uiPriority w:val="99"/>
    <w:rPr>
      <w:rFonts w:ascii="Times New Roman" w:hAnsi="Times New Roman" w:eastAsia="宋体" w:cs="Times New Roman"/>
      <w:kern w:val="0"/>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image" Target="media/image12.png"/><Relationship Id="rId14" Type="http://schemas.openxmlformats.org/officeDocument/2006/relationships/image" Target="media/image11.emf"/><Relationship Id="rId13" Type="http://schemas.openxmlformats.org/officeDocument/2006/relationships/image" Target="media/image10.emf"/><Relationship Id="rId12" Type="http://schemas.openxmlformats.org/officeDocument/2006/relationships/image" Target="media/image9.emf"/><Relationship Id="rId11" Type="http://schemas.openxmlformats.org/officeDocument/2006/relationships/image" Target="media/image8.emf"/><Relationship Id="rId10" Type="http://schemas.openxmlformats.org/officeDocument/2006/relationships/image" Target="media/image7.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9</Pages>
  <Words>2776</Words>
  <Characters>15825</Characters>
  <Lines>131</Lines>
  <Paragraphs>37</Paragraphs>
  <TotalTime>5</TotalTime>
  <ScaleCrop>false</ScaleCrop>
  <LinksUpToDate>false</LinksUpToDate>
  <CharactersWithSpaces>18564</CharactersWithSpaces>
  <Application>WPS Office_6.11.0.8885_F1E327BC-269C-435d-A152-05C5408002CA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2024-09-29T10:50:00Z</dcterms:created>
  <dc:creator>杨润若</dc:creator>
  <cp:lastModifiedBy>晨</cp:lastModifiedBy>
  <dcterms:modified xsi:type="dcterms:W3CDTF">2024-10-02T20:16:52Z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MTEquationSection">
    <vt:lpwstr>1</vt:lpwstr>
  </property>
  <property fmtid="{D5CDD505-2E9C-101B-9397-08002B2CF9AE}" pid="5" name="ContentTypeId">
    <vt:lpwstr>0x010100CF0E1C5147617444A491165EA22810F6</vt:lpwstr>
  </property>
  <property fmtid="{D5CDD505-2E9C-101B-9397-08002B2CF9AE}" pid="6" name="KSOProductBuildVer">
    <vt:lpwstr>2052-6.11.0.8885</vt:lpwstr>
  </property>
  <property fmtid="{D5CDD505-2E9C-101B-9397-08002B2CF9AE}" pid="7" name="ICV">
    <vt:lpwstr>05484A7DA8DACD84B439FD667F5EDB1E_42</vt:lpwstr>
  </property>
</Properties>
</file>